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111F0" w14:textId="77777777" w:rsidR="00B76D08" w:rsidRPr="008E1AA8" w:rsidRDefault="00B76D08" w:rsidP="00C72F90">
      <w:pPr>
        <w:jc w:val="center"/>
        <w:rPr>
          <w:b/>
        </w:rPr>
      </w:pPr>
      <w:r w:rsidRPr="008E1AA8">
        <w:rPr>
          <w:b/>
        </w:rPr>
        <w:t>HIV and AIDS Academic Half Day</w:t>
      </w:r>
      <w:r w:rsidRPr="008E1AA8">
        <w:rPr>
          <w:b/>
        </w:rPr>
        <w:br/>
      </w:r>
      <w:r w:rsidR="00DA363B">
        <w:rPr>
          <w:b/>
        </w:rPr>
        <w:t>9/13/2018</w:t>
      </w:r>
      <w:r w:rsidRPr="008E1AA8">
        <w:rPr>
          <w:b/>
        </w:rPr>
        <w:t xml:space="preserve"> – Facilitator Copy</w:t>
      </w:r>
    </w:p>
    <w:p w14:paraId="5D2A025F" w14:textId="77777777" w:rsidR="00B76D08" w:rsidRDefault="00B76D08">
      <w:r>
        <w:t>Case #1</w:t>
      </w:r>
      <w:r>
        <w:br/>
        <w:t xml:space="preserve">A 27 y/o previously healthy male presents with 2 days of mild fever, sore throat, generalized malaise.  You note cervical and axillary lymphadenopathy, mild </w:t>
      </w:r>
      <w:proofErr w:type="spellStart"/>
      <w:r>
        <w:t>meningismus</w:t>
      </w:r>
      <w:proofErr w:type="spellEnd"/>
      <w:r>
        <w:t>, and a diffuse rash on his trunk.  On further history he notes an episode of unprotected intercourse roughly 2 weeks prior</w:t>
      </w:r>
      <w:r w:rsidR="00E73180">
        <w:t>.</w:t>
      </w:r>
      <w:r w:rsidR="002D35EC">
        <w:t xml:space="preserve">  He had otherwise not been sexually active for many months.</w:t>
      </w:r>
      <w:r w:rsidR="002F69D8">
        <w:t xml:space="preserve">  </w:t>
      </w:r>
    </w:p>
    <w:p w14:paraId="2FA9DCB7" w14:textId="77777777" w:rsidR="00E73180" w:rsidRDefault="00CF6ECD">
      <w:r>
        <w:t xml:space="preserve">1) </w:t>
      </w:r>
      <w:r w:rsidR="00E73180">
        <w:t>How does Acute HIV present and what should be in your differential?</w:t>
      </w:r>
    </w:p>
    <w:p w14:paraId="22852908" w14:textId="77777777" w:rsidR="00686E07" w:rsidRDefault="00E73180" w:rsidP="00686E07">
      <w:pPr>
        <w:spacing w:after="0"/>
        <w:ind w:left="360"/>
        <w:rPr>
          <w:b/>
          <w:i/>
        </w:rPr>
      </w:pPr>
      <w:r w:rsidRPr="00B36862">
        <w:rPr>
          <w:b/>
          <w:i/>
        </w:rPr>
        <w:t xml:space="preserve">Symptoms can include acute malaise, </w:t>
      </w:r>
      <w:proofErr w:type="spellStart"/>
      <w:r w:rsidRPr="00B36862">
        <w:rPr>
          <w:b/>
          <w:i/>
        </w:rPr>
        <w:t>myalgias</w:t>
      </w:r>
      <w:proofErr w:type="spellEnd"/>
      <w:r w:rsidRPr="00B36862">
        <w:rPr>
          <w:b/>
          <w:i/>
        </w:rPr>
        <w:t xml:space="preserve">, anorexia, weight loss, GI upset, </w:t>
      </w:r>
      <w:proofErr w:type="spellStart"/>
      <w:r w:rsidR="00686E07">
        <w:rPr>
          <w:b/>
          <w:i/>
        </w:rPr>
        <w:t>apthous</w:t>
      </w:r>
      <w:proofErr w:type="spellEnd"/>
      <w:r w:rsidR="00686E07">
        <w:rPr>
          <w:b/>
          <w:i/>
        </w:rPr>
        <w:t xml:space="preserve"> ulcers, </w:t>
      </w:r>
      <w:r w:rsidRPr="00B36862">
        <w:rPr>
          <w:b/>
          <w:i/>
        </w:rPr>
        <w:t>lymphadenopathy, pharyngitis, and rash.  Sometimes non-specific symptoms.</w:t>
      </w:r>
      <w:r w:rsidRPr="00B36862">
        <w:rPr>
          <w:b/>
          <w:i/>
        </w:rPr>
        <w:br/>
      </w:r>
      <w:r w:rsidR="00686E07">
        <w:rPr>
          <w:b/>
          <w:i/>
        </w:rPr>
        <w:t>Differential Diagnosis:</w:t>
      </w:r>
    </w:p>
    <w:p w14:paraId="6983D57F" w14:textId="77777777" w:rsidR="00E73180" w:rsidRPr="00B36862" w:rsidRDefault="00686E07" w:rsidP="00686E07">
      <w:pPr>
        <w:spacing w:after="0"/>
        <w:ind w:left="540"/>
        <w:rPr>
          <w:b/>
          <w:i/>
        </w:rPr>
      </w:pPr>
      <w:r>
        <w:rPr>
          <w:b/>
          <w:i/>
        </w:rPr>
        <w:t>Most Common</w:t>
      </w:r>
      <w:r w:rsidR="00E73180" w:rsidRPr="00B36862">
        <w:rPr>
          <w:b/>
          <w:i/>
        </w:rPr>
        <w:t xml:space="preserve">: </w:t>
      </w:r>
      <w:r w:rsidR="00E73180" w:rsidRPr="00B36862">
        <w:rPr>
          <w:i/>
        </w:rPr>
        <w:t>EBV, Influenza, Strep pharyngitis, Viral/Noninfectious gastroenteritis, Viral URI</w:t>
      </w:r>
      <w:r w:rsidR="00E73180" w:rsidRPr="00B36862">
        <w:rPr>
          <w:b/>
          <w:i/>
        </w:rPr>
        <w:br/>
        <w:t xml:space="preserve">Less Common: </w:t>
      </w:r>
      <w:r w:rsidR="00E73180" w:rsidRPr="00B36862">
        <w:rPr>
          <w:i/>
        </w:rPr>
        <w:t xml:space="preserve">Acute Viral Hepatitis, Drug Reaction, Primary Herpes Simplex, Secondary </w:t>
      </w:r>
      <w:proofErr w:type="spellStart"/>
      <w:r w:rsidR="00E73180" w:rsidRPr="00B36862">
        <w:rPr>
          <w:i/>
        </w:rPr>
        <w:t>Syphillis</w:t>
      </w:r>
      <w:proofErr w:type="spellEnd"/>
      <w:r w:rsidR="00E73180" w:rsidRPr="00B36862">
        <w:rPr>
          <w:b/>
          <w:i/>
        </w:rPr>
        <w:br/>
        <w:t xml:space="preserve">Uncommon: </w:t>
      </w:r>
      <w:r w:rsidR="00E73180" w:rsidRPr="00B36862">
        <w:rPr>
          <w:i/>
        </w:rPr>
        <w:t xml:space="preserve">Acute CMV, Disseminated </w:t>
      </w:r>
      <w:proofErr w:type="spellStart"/>
      <w:r w:rsidR="00E73180" w:rsidRPr="00B36862">
        <w:rPr>
          <w:i/>
        </w:rPr>
        <w:t>Gonococcemia</w:t>
      </w:r>
      <w:proofErr w:type="spellEnd"/>
      <w:r w:rsidR="00E73180" w:rsidRPr="00B36862">
        <w:rPr>
          <w:i/>
        </w:rPr>
        <w:t xml:space="preserve">, Primary </w:t>
      </w:r>
      <w:proofErr w:type="spellStart"/>
      <w:r w:rsidR="00E73180" w:rsidRPr="00B36862">
        <w:rPr>
          <w:i/>
        </w:rPr>
        <w:t>Immunodeficiencies</w:t>
      </w:r>
      <w:proofErr w:type="spellEnd"/>
      <w:r w:rsidR="00E73180" w:rsidRPr="00B36862">
        <w:rPr>
          <w:i/>
        </w:rPr>
        <w:t>, Measles, Travel Related Diseases – Malaria, Typhoid</w:t>
      </w:r>
    </w:p>
    <w:p w14:paraId="01A24ED2" w14:textId="10E6A643" w:rsidR="00E73180" w:rsidRDefault="00CF6ECD" w:rsidP="00686E07">
      <w:pPr>
        <w:spacing w:before="240"/>
        <w:ind w:left="270" w:hanging="270"/>
      </w:pPr>
      <w:r>
        <w:t xml:space="preserve">2) </w:t>
      </w:r>
      <w:r w:rsidR="00E73180">
        <w:t>You suspect Acute HIV.  Wh</w:t>
      </w:r>
      <w:r w:rsidR="006B7895">
        <w:t>at</w:t>
      </w:r>
      <w:r w:rsidR="00E73180">
        <w:t xml:space="preserve"> is the best test</w:t>
      </w:r>
      <w:r w:rsidR="007D10D8">
        <w:t xml:space="preserve"> to order at this time and why?</w:t>
      </w:r>
    </w:p>
    <w:p w14:paraId="4AB66E0F" w14:textId="77777777" w:rsidR="006B7895" w:rsidRDefault="00DA363B" w:rsidP="006B7895">
      <w:pPr>
        <w:spacing w:after="0"/>
        <w:ind w:left="360"/>
        <w:rPr>
          <w:i/>
        </w:rPr>
      </w:pPr>
      <w:r>
        <w:rPr>
          <w:b/>
          <w:i/>
        </w:rPr>
        <w:t>Answer:</w:t>
      </w:r>
      <w:r w:rsidR="00E73180" w:rsidRPr="00B36862">
        <w:rPr>
          <w:b/>
          <w:i/>
        </w:rPr>
        <w:t xml:space="preserve"> HIV RNA Viral Load PCR.</w:t>
      </w:r>
      <w:r w:rsidR="00E73180" w:rsidRPr="00B36862">
        <w:rPr>
          <w:b/>
          <w:i/>
        </w:rPr>
        <w:br/>
        <w:t xml:space="preserve">Signs and symptoms of Acute HIV Infection can occur between 6-56 days after exposure. </w:t>
      </w:r>
      <w:r w:rsidR="00E73180" w:rsidRPr="00B36862">
        <w:rPr>
          <w:i/>
        </w:rPr>
        <w:t xml:space="preserve"> If the patient is having signs and symptoms, they likely have a detectible RNA PCR, but may not have a detectable antigen or antibody test.  Dis</w:t>
      </w:r>
      <w:r w:rsidR="002D35EC" w:rsidRPr="00B36862">
        <w:rPr>
          <w:i/>
        </w:rPr>
        <w:t xml:space="preserve">cuss the window period: This is the time when the </w:t>
      </w:r>
      <w:r w:rsidR="00E73180" w:rsidRPr="00B36862">
        <w:rPr>
          <w:i/>
        </w:rPr>
        <w:t>antibody detected on ELISA</w:t>
      </w:r>
      <w:r w:rsidR="002D35EC" w:rsidRPr="00B36862">
        <w:rPr>
          <w:i/>
        </w:rPr>
        <w:t xml:space="preserve"> is often not detectible during the acute phase.</w:t>
      </w:r>
      <w:r w:rsidR="00E73180" w:rsidRPr="00B36862">
        <w:rPr>
          <w:b/>
          <w:i/>
        </w:rPr>
        <w:br/>
        <w:t>RNA PCR</w:t>
      </w:r>
      <w:r w:rsidR="002D35EC" w:rsidRPr="00B36862">
        <w:rPr>
          <w:b/>
          <w:i/>
        </w:rPr>
        <w:t xml:space="preserve">: </w:t>
      </w:r>
      <w:r w:rsidR="006B7895">
        <w:rPr>
          <w:i/>
        </w:rPr>
        <w:t>Detectible as early as 5</w:t>
      </w:r>
      <w:r w:rsidR="002D35EC" w:rsidRPr="00B36862">
        <w:rPr>
          <w:i/>
        </w:rPr>
        <w:t xml:space="preserve"> days post-exposure</w:t>
      </w:r>
      <w:r w:rsidR="006B7895">
        <w:rPr>
          <w:i/>
        </w:rPr>
        <w:t xml:space="preserve"> (ultrasensitive)</w:t>
      </w:r>
      <w:r w:rsidR="002D35EC" w:rsidRPr="00B36862">
        <w:rPr>
          <w:i/>
        </w:rPr>
        <w:t xml:space="preserve"> (4-12 days)</w:t>
      </w:r>
      <w:r w:rsidR="002D35EC" w:rsidRPr="00B36862">
        <w:rPr>
          <w:b/>
          <w:i/>
        </w:rPr>
        <w:br/>
      </w:r>
      <w:r w:rsidR="00AF79B7" w:rsidRPr="005B0D64">
        <w:rPr>
          <w:b/>
          <w:i/>
        </w:rPr>
        <w:t>4</w:t>
      </w:r>
      <w:r w:rsidR="00AF79B7" w:rsidRPr="005B0D64">
        <w:rPr>
          <w:b/>
          <w:i/>
          <w:vertAlign w:val="superscript"/>
        </w:rPr>
        <w:t>th</w:t>
      </w:r>
      <w:r w:rsidR="00AF79B7" w:rsidRPr="005B0D64">
        <w:rPr>
          <w:b/>
          <w:i/>
        </w:rPr>
        <w:t xml:space="preserve"> Generation </w:t>
      </w:r>
      <w:r w:rsidR="00B54828">
        <w:rPr>
          <w:b/>
          <w:i/>
        </w:rPr>
        <w:t xml:space="preserve">Ag/Ab </w:t>
      </w:r>
      <w:r w:rsidR="00AF79B7" w:rsidRPr="005B0D64">
        <w:rPr>
          <w:b/>
          <w:i/>
        </w:rPr>
        <w:t>assay</w:t>
      </w:r>
      <w:r w:rsidR="002D35EC" w:rsidRPr="005B0D64">
        <w:rPr>
          <w:b/>
          <w:i/>
        </w:rPr>
        <w:t xml:space="preserve">: </w:t>
      </w:r>
      <w:r w:rsidR="002D35EC" w:rsidRPr="00B36862">
        <w:rPr>
          <w:i/>
        </w:rPr>
        <w:t xml:space="preserve">Detectible </w:t>
      </w:r>
      <w:r w:rsidR="006B7895">
        <w:rPr>
          <w:i/>
        </w:rPr>
        <w:t>15-20 days</w:t>
      </w:r>
      <w:r w:rsidR="002D35EC" w:rsidRPr="00B36862">
        <w:rPr>
          <w:i/>
        </w:rPr>
        <w:t xml:space="preserve"> post-exposure</w:t>
      </w:r>
    </w:p>
    <w:p w14:paraId="53A90FE3" w14:textId="50DF05C4" w:rsidR="00E73180" w:rsidRDefault="006B7895" w:rsidP="006B7895">
      <w:pPr>
        <w:spacing w:after="0"/>
        <w:ind w:left="360" w:firstLine="360"/>
        <w:rPr>
          <w:i/>
        </w:rPr>
      </w:pPr>
      <w:r>
        <w:rPr>
          <w:b/>
          <w:i/>
        </w:rPr>
        <w:t xml:space="preserve">Ask learners what this includes? </w:t>
      </w:r>
      <w:r w:rsidRPr="006B7895">
        <w:rPr>
          <w:i/>
        </w:rPr>
        <w:t>It includes the p24 antigen</w:t>
      </w:r>
      <w:r w:rsidR="00A05400">
        <w:rPr>
          <w:i/>
        </w:rPr>
        <w:t xml:space="preserve">. </w:t>
      </w:r>
      <w:r w:rsidR="002D35EC" w:rsidRPr="00B36862">
        <w:rPr>
          <w:b/>
          <w:i/>
        </w:rPr>
        <w:br/>
        <w:t xml:space="preserve">Antibody formation: </w:t>
      </w:r>
      <w:r w:rsidR="002D35EC" w:rsidRPr="00B36862">
        <w:rPr>
          <w:i/>
        </w:rPr>
        <w:t>3-5 weeks post-exposure</w:t>
      </w:r>
    </w:p>
    <w:p w14:paraId="17D365FD" w14:textId="77777777" w:rsidR="00EE105D" w:rsidRPr="00B36862" w:rsidRDefault="00EE105D" w:rsidP="006B7895">
      <w:pPr>
        <w:spacing w:after="0"/>
        <w:ind w:left="360" w:firstLine="360"/>
        <w:rPr>
          <w:b/>
          <w:i/>
        </w:rPr>
      </w:pPr>
    </w:p>
    <w:p w14:paraId="23FC4B51" w14:textId="3CEC0286" w:rsidR="002D35EC" w:rsidRDefault="00CF6ECD">
      <w:r>
        <w:t xml:space="preserve">3) </w:t>
      </w:r>
      <w:r w:rsidR="002D35EC">
        <w:t xml:space="preserve">You check the lab discussed above.  What do you </w:t>
      </w:r>
      <w:r w:rsidR="007D10D8">
        <w:t>think</w:t>
      </w:r>
      <w:r w:rsidR="002D35EC">
        <w:t xml:space="preserve"> this patient’s CD4 count, RNA PCR, HIV Antibody testing to show?</w:t>
      </w:r>
      <w:r w:rsidR="00A05400">
        <w:t xml:space="preserve"> </w:t>
      </w:r>
    </w:p>
    <w:p w14:paraId="20E222F1" w14:textId="77777777" w:rsidR="000F3DB6" w:rsidRPr="00B36862" w:rsidRDefault="000F3DB6" w:rsidP="00B36862">
      <w:pPr>
        <w:ind w:left="360"/>
        <w:rPr>
          <w:i/>
        </w:rPr>
      </w:pPr>
      <w:r w:rsidRPr="00B36862">
        <w:rPr>
          <w:b/>
          <w:i/>
        </w:rPr>
        <w:t xml:space="preserve">Acute HIV often presents with really high Viral Load by RNA PCR.  </w:t>
      </w:r>
      <w:r w:rsidRPr="00B36862">
        <w:rPr>
          <w:i/>
        </w:rPr>
        <w:t xml:space="preserve">This high viremia means that the patient is very contagious at this point.  </w:t>
      </w:r>
      <w:r w:rsidRPr="00B36862">
        <w:rPr>
          <w:b/>
          <w:i/>
        </w:rPr>
        <w:t>CD4 count</w:t>
      </w:r>
      <w:r w:rsidRPr="00B36862">
        <w:rPr>
          <w:i/>
        </w:rPr>
        <w:t xml:space="preserve"> in acute HIV can be </w:t>
      </w:r>
      <w:proofErr w:type="gramStart"/>
      <w:r w:rsidRPr="00B36862">
        <w:rPr>
          <w:i/>
        </w:rPr>
        <w:t>variable,</w:t>
      </w:r>
      <w:proofErr w:type="gramEnd"/>
      <w:r w:rsidRPr="00B36862">
        <w:rPr>
          <w:i/>
        </w:rPr>
        <w:t xml:space="preserve"> </w:t>
      </w:r>
      <w:r w:rsidRPr="00B36862">
        <w:rPr>
          <w:b/>
          <w:i/>
        </w:rPr>
        <w:t>HIV Antibody</w:t>
      </w:r>
      <w:r w:rsidRPr="00B36862">
        <w:rPr>
          <w:i/>
        </w:rPr>
        <w:t xml:space="preserve"> may not be present yet due to the window period as noted above.</w:t>
      </w:r>
    </w:p>
    <w:p w14:paraId="1E633A17" w14:textId="77777777" w:rsidR="000F3DB6" w:rsidRDefault="00CF6ECD">
      <w:r>
        <w:t xml:space="preserve">4) </w:t>
      </w:r>
      <w:r w:rsidR="000F3DB6">
        <w:t xml:space="preserve">You discuss the patient’s HIV infection as well as Highly Active </w:t>
      </w:r>
      <w:proofErr w:type="spellStart"/>
      <w:r w:rsidR="000F3DB6">
        <w:t>AntiRetroviral</w:t>
      </w:r>
      <w:proofErr w:type="spellEnd"/>
      <w:r w:rsidR="000F3DB6">
        <w:t xml:space="preserve"> Therapy.  You set him up with an initial appointment with Dr. </w:t>
      </w:r>
      <w:proofErr w:type="spellStart"/>
      <w:r w:rsidR="000F3DB6">
        <w:t>Fichtenbaum</w:t>
      </w:r>
      <w:proofErr w:type="spellEnd"/>
      <w:r w:rsidR="000F3DB6">
        <w:t>.  After initial diagnosis, what other baseline labs should he receive?  What are you looking for with these baseline labs?</w:t>
      </w:r>
    </w:p>
    <w:p w14:paraId="5FB84338" w14:textId="2E62CE96" w:rsidR="000F3DB6" w:rsidRPr="00B36862" w:rsidRDefault="000F3DB6" w:rsidP="00B36862">
      <w:pPr>
        <w:ind w:left="360"/>
        <w:rPr>
          <w:b/>
          <w:i/>
        </w:rPr>
      </w:pPr>
      <w:r w:rsidRPr="00B36862">
        <w:rPr>
          <w:b/>
          <w:i/>
        </w:rPr>
        <w:t>Baseline labs should assess comorbidities, disease baseline, infectious screening, resistance testing, pregnancy testing, and consideration for side effects from HIV medications.</w:t>
      </w:r>
      <w:r w:rsidRPr="00B36862">
        <w:rPr>
          <w:b/>
          <w:i/>
        </w:rPr>
        <w:br/>
        <w:t xml:space="preserve">Comorbidities: </w:t>
      </w:r>
      <w:r w:rsidRPr="00B36862">
        <w:rPr>
          <w:i/>
        </w:rPr>
        <w:t>CBC, Renal Function</w:t>
      </w:r>
      <w:r w:rsidR="00AF6C63" w:rsidRPr="00B36862">
        <w:rPr>
          <w:i/>
        </w:rPr>
        <w:t xml:space="preserve"> (HIV Nephropathy)</w:t>
      </w:r>
      <w:r w:rsidRPr="00B36862">
        <w:rPr>
          <w:i/>
        </w:rPr>
        <w:t>, Hepatic Function, Lipid Panel</w:t>
      </w:r>
      <w:r w:rsidR="00AF6C63" w:rsidRPr="00B36862">
        <w:rPr>
          <w:i/>
        </w:rPr>
        <w:t xml:space="preserve"> (Increased risk of cardiac events in HIV and effects of HAART)</w:t>
      </w:r>
      <w:r w:rsidRPr="00B36862">
        <w:rPr>
          <w:i/>
        </w:rPr>
        <w:t>, Glucose</w:t>
      </w:r>
      <w:r w:rsidRPr="00B36862">
        <w:rPr>
          <w:b/>
          <w:i/>
        </w:rPr>
        <w:br/>
        <w:t xml:space="preserve">Disease Baseline: </w:t>
      </w:r>
      <w:r w:rsidR="0011220A">
        <w:rPr>
          <w:i/>
        </w:rPr>
        <w:t>HIV RNA level and CD4 count</w:t>
      </w:r>
      <w:r w:rsidRPr="00B36862">
        <w:rPr>
          <w:b/>
          <w:i/>
        </w:rPr>
        <w:br/>
        <w:t>Infectious Scree</w:t>
      </w:r>
      <w:r w:rsidR="00AF6C63" w:rsidRPr="00B36862">
        <w:rPr>
          <w:b/>
          <w:i/>
        </w:rPr>
        <w:t xml:space="preserve">ning: </w:t>
      </w:r>
      <w:r w:rsidR="00AF6C63" w:rsidRPr="00B36862">
        <w:rPr>
          <w:i/>
        </w:rPr>
        <w:t>Toxoplasma IGG (If future low CD4 will be at risk</w:t>
      </w:r>
      <w:r w:rsidR="00AF6F16" w:rsidRPr="00B36862">
        <w:rPr>
          <w:i/>
        </w:rPr>
        <w:t xml:space="preserve"> for encephalitis</w:t>
      </w:r>
      <w:r w:rsidRPr="00B36862">
        <w:rPr>
          <w:i/>
        </w:rPr>
        <w:t xml:space="preserve">), </w:t>
      </w:r>
      <w:r w:rsidR="006B7895">
        <w:rPr>
          <w:i/>
        </w:rPr>
        <w:t xml:space="preserve">syphilis </w:t>
      </w:r>
      <w:r w:rsidR="006B7895">
        <w:rPr>
          <w:i/>
        </w:rPr>
        <w:lastRenderedPageBreak/>
        <w:t xml:space="preserve">testing (discuss RPR vs </w:t>
      </w:r>
      <w:proofErr w:type="spellStart"/>
      <w:r w:rsidR="006B7895">
        <w:rPr>
          <w:i/>
        </w:rPr>
        <w:t>trepia</w:t>
      </w:r>
      <w:proofErr w:type="spellEnd"/>
      <w:r w:rsidR="006B7895">
        <w:rPr>
          <w:i/>
        </w:rPr>
        <w:t xml:space="preserve"> testing</w:t>
      </w:r>
      <w:r w:rsidR="00EE105D">
        <w:rPr>
          <w:i/>
        </w:rPr>
        <w:t xml:space="preserve"> – </w:t>
      </w:r>
      <w:proofErr w:type="spellStart"/>
      <w:r w:rsidR="00EE105D">
        <w:rPr>
          <w:i/>
        </w:rPr>
        <w:t>trepia</w:t>
      </w:r>
      <w:proofErr w:type="spellEnd"/>
      <w:r w:rsidR="00EE105D">
        <w:rPr>
          <w:i/>
        </w:rPr>
        <w:t xml:space="preserve"> testing if no history of syphilis</w:t>
      </w:r>
      <w:r w:rsidR="006B7895">
        <w:rPr>
          <w:i/>
        </w:rPr>
        <w:t>)</w:t>
      </w:r>
      <w:r w:rsidRPr="00B36862">
        <w:rPr>
          <w:i/>
        </w:rPr>
        <w:t>, Gonorrhea/Chlamydia, HPV, HBV</w:t>
      </w:r>
      <w:r w:rsidR="00AF6C63" w:rsidRPr="00B36862">
        <w:rPr>
          <w:i/>
        </w:rPr>
        <w:t xml:space="preserve"> (HIV quickens liver damage of HBV – coinfection is indication for HAART)</w:t>
      </w:r>
      <w:r w:rsidRPr="00B36862">
        <w:rPr>
          <w:i/>
        </w:rPr>
        <w:t>, HCV, HAV, PPD</w:t>
      </w:r>
      <w:r w:rsidR="00AF6C63" w:rsidRPr="00B36862">
        <w:rPr>
          <w:i/>
        </w:rPr>
        <w:t xml:space="preserve"> (</w:t>
      </w:r>
      <w:r w:rsidR="007F2D71">
        <w:rPr>
          <w:i/>
        </w:rPr>
        <w:t>what would be positive?</w:t>
      </w:r>
      <w:r w:rsidR="00AF6C63" w:rsidRPr="00B36862">
        <w:rPr>
          <w:i/>
        </w:rPr>
        <w:t xml:space="preserve"> - &gt;5mm would need </w:t>
      </w:r>
      <w:proofErr w:type="spellStart"/>
      <w:r w:rsidR="00AF6C63" w:rsidRPr="00B36862">
        <w:rPr>
          <w:i/>
        </w:rPr>
        <w:t>Tx</w:t>
      </w:r>
      <w:proofErr w:type="spellEnd"/>
      <w:r w:rsidR="00AF6C63" w:rsidRPr="00B36862">
        <w:rPr>
          <w:i/>
        </w:rPr>
        <w:t xml:space="preserve"> for latent infection)</w:t>
      </w:r>
      <w:r w:rsidRPr="00B36862">
        <w:rPr>
          <w:b/>
          <w:i/>
        </w:rPr>
        <w:br/>
        <w:t xml:space="preserve">Resistance Testing: </w:t>
      </w:r>
      <w:r w:rsidRPr="00B36862">
        <w:rPr>
          <w:i/>
        </w:rPr>
        <w:t>HIV Genotyping</w:t>
      </w:r>
      <w:r w:rsidRPr="00B36862">
        <w:rPr>
          <w:b/>
          <w:i/>
        </w:rPr>
        <w:br/>
        <w:t xml:space="preserve">Side Effects: </w:t>
      </w:r>
      <w:r w:rsidRPr="00B36862">
        <w:rPr>
          <w:i/>
        </w:rPr>
        <w:t xml:space="preserve">G6PD Deficiency – Certain ethnic groups for </w:t>
      </w:r>
      <w:proofErr w:type="spellStart"/>
      <w:r w:rsidRPr="00B36862">
        <w:rPr>
          <w:i/>
        </w:rPr>
        <w:t>dapsone</w:t>
      </w:r>
      <w:proofErr w:type="spellEnd"/>
      <w:r w:rsidRPr="00B36862">
        <w:rPr>
          <w:i/>
        </w:rPr>
        <w:t xml:space="preserve"> </w:t>
      </w:r>
      <w:proofErr w:type="spellStart"/>
      <w:r w:rsidRPr="00B36862">
        <w:rPr>
          <w:i/>
        </w:rPr>
        <w:t>ppx</w:t>
      </w:r>
      <w:proofErr w:type="spellEnd"/>
      <w:r w:rsidRPr="00B36862">
        <w:rPr>
          <w:i/>
        </w:rPr>
        <w:t xml:space="preserve">, HLA-B*5701 </w:t>
      </w:r>
      <w:r w:rsidR="0011220A">
        <w:rPr>
          <w:i/>
        </w:rPr>
        <w:t xml:space="preserve">(before initiation of </w:t>
      </w:r>
      <w:proofErr w:type="spellStart"/>
      <w:r w:rsidR="0011220A">
        <w:rPr>
          <w:i/>
        </w:rPr>
        <w:t>abacavir</w:t>
      </w:r>
      <w:proofErr w:type="spellEnd"/>
      <w:r w:rsidR="0011220A">
        <w:rPr>
          <w:i/>
        </w:rPr>
        <w:t>)</w:t>
      </w:r>
      <w:r w:rsidR="00CF6ECD" w:rsidRPr="00B36862">
        <w:rPr>
          <w:i/>
        </w:rPr>
        <w:t>–</w:t>
      </w:r>
      <w:r w:rsidRPr="00B36862">
        <w:rPr>
          <w:i/>
        </w:rPr>
        <w:t xml:space="preserve"> </w:t>
      </w:r>
      <w:r w:rsidR="00CF6ECD" w:rsidRPr="00B36862">
        <w:rPr>
          <w:i/>
        </w:rPr>
        <w:t xml:space="preserve">Associated with </w:t>
      </w:r>
      <w:proofErr w:type="spellStart"/>
      <w:r w:rsidR="00CF6ECD" w:rsidRPr="00B36862">
        <w:rPr>
          <w:i/>
        </w:rPr>
        <w:t>abacavir</w:t>
      </w:r>
      <w:proofErr w:type="spellEnd"/>
      <w:r w:rsidR="00CF6ECD" w:rsidRPr="00B36862">
        <w:rPr>
          <w:i/>
        </w:rPr>
        <w:t xml:space="preserve"> hypersensitivity reaction – approx. 4% of population: Potentially lethal syndrome including fever, malaise, nausea, diarrhea, rash which can progress to </w:t>
      </w:r>
      <w:proofErr w:type="spellStart"/>
      <w:r w:rsidR="00CF6ECD" w:rsidRPr="00B36862">
        <w:rPr>
          <w:i/>
        </w:rPr>
        <w:t>multiorgan</w:t>
      </w:r>
      <w:proofErr w:type="spellEnd"/>
      <w:r w:rsidR="00CF6ECD" w:rsidRPr="00B36862">
        <w:rPr>
          <w:i/>
        </w:rPr>
        <w:t xml:space="preserve"> failure.</w:t>
      </w:r>
      <w:r w:rsidR="00423C1E" w:rsidRPr="00B36862">
        <w:rPr>
          <w:b/>
          <w:i/>
        </w:rPr>
        <w:br/>
        <w:t>Pregnancy:</w:t>
      </w:r>
      <w:r w:rsidR="00B36862" w:rsidRPr="00B36862">
        <w:rPr>
          <w:b/>
          <w:i/>
        </w:rPr>
        <w:t xml:space="preserve"> </w:t>
      </w:r>
      <w:r w:rsidR="00B36862" w:rsidRPr="00B36862">
        <w:rPr>
          <w:i/>
        </w:rPr>
        <w:t>alters treatment regimen but supports absolute indication for treatment</w:t>
      </w:r>
      <w:r w:rsidR="00EE105D">
        <w:rPr>
          <w:i/>
        </w:rPr>
        <w:t xml:space="preserve"> </w:t>
      </w:r>
      <w:r w:rsidR="00B36862" w:rsidRPr="00B36862">
        <w:rPr>
          <w:i/>
        </w:rPr>
        <w:t>for prevention of mother to child transmission</w:t>
      </w:r>
    </w:p>
    <w:p w14:paraId="3AF7A465" w14:textId="77777777" w:rsidR="00E73180" w:rsidRDefault="00423C1E">
      <w:r>
        <w:t>5) How are you going to monitor their HIV and potential complications?  How will you change your screening and vaccinations?</w:t>
      </w:r>
    </w:p>
    <w:p w14:paraId="496A837E" w14:textId="514DC631" w:rsidR="00686E07" w:rsidRDefault="00423C1E" w:rsidP="00686E07">
      <w:pPr>
        <w:spacing w:after="0"/>
        <w:ind w:left="360"/>
        <w:rPr>
          <w:i/>
        </w:rPr>
      </w:pPr>
      <w:r w:rsidRPr="00B36862">
        <w:rPr>
          <w:b/>
          <w:i/>
        </w:rPr>
        <w:t xml:space="preserve">Asymptomatic patients with normal CD4 counts can be monitored with CD4 </w:t>
      </w:r>
      <w:r w:rsidR="00686E07">
        <w:rPr>
          <w:b/>
          <w:i/>
        </w:rPr>
        <w:t>count and</w:t>
      </w:r>
      <w:r w:rsidRPr="00B36862">
        <w:rPr>
          <w:b/>
          <w:i/>
        </w:rPr>
        <w:t xml:space="preserve"> Viral Load Q3-6 months.</w:t>
      </w:r>
      <w:r w:rsidR="0011220A">
        <w:rPr>
          <w:b/>
          <w:i/>
        </w:rPr>
        <w:t xml:space="preserve">  </w:t>
      </w:r>
      <w:r w:rsidR="0011220A">
        <w:rPr>
          <w:i/>
        </w:rPr>
        <w:t>Newest guidelines (2018) say viral load q 3 months until &lt;50, for one year, then q 6 months.  A bit more controversial is CD4 count q 6 months until &gt;250 for a year, then stop checking CD4 unless viral load increases</w:t>
      </w:r>
      <w:r w:rsidRPr="00B36862">
        <w:rPr>
          <w:b/>
          <w:i/>
        </w:rPr>
        <w:br/>
        <w:t>Co-infection</w:t>
      </w:r>
      <w:r w:rsidR="00686E07">
        <w:rPr>
          <w:b/>
          <w:i/>
        </w:rPr>
        <w:t xml:space="preserve"> screening</w:t>
      </w:r>
      <w:r w:rsidRPr="00B36862">
        <w:rPr>
          <w:b/>
          <w:i/>
        </w:rPr>
        <w:t xml:space="preserve">: </w:t>
      </w:r>
      <w:r w:rsidR="00AF79B7" w:rsidRPr="005B0D64">
        <w:rPr>
          <w:i/>
        </w:rPr>
        <w:t>GC/Chlamydia,</w:t>
      </w:r>
      <w:r w:rsidR="00AF79B7" w:rsidRPr="005B0D64">
        <w:rPr>
          <w:b/>
          <w:i/>
        </w:rPr>
        <w:t xml:space="preserve"> </w:t>
      </w:r>
      <w:r w:rsidR="00686E07">
        <w:rPr>
          <w:i/>
        </w:rPr>
        <w:t>RPR, HCV yearly</w:t>
      </w:r>
    </w:p>
    <w:p w14:paraId="16435995" w14:textId="77777777" w:rsidR="006429E1" w:rsidRPr="006429E1" w:rsidRDefault="00423C1E" w:rsidP="006429E1">
      <w:pPr>
        <w:spacing w:after="0"/>
        <w:ind w:left="360"/>
        <w:rPr>
          <w:i/>
        </w:rPr>
      </w:pPr>
      <w:r w:rsidRPr="00686E07">
        <w:rPr>
          <w:b/>
          <w:i/>
        </w:rPr>
        <w:t>Vaccinations</w:t>
      </w:r>
      <w:r w:rsidRPr="00B36862">
        <w:rPr>
          <w:i/>
        </w:rPr>
        <w:t xml:space="preserve">: Stress influenza.  Should get Pneumococcal, </w:t>
      </w:r>
      <w:proofErr w:type="spellStart"/>
      <w:r w:rsidRPr="00B36862">
        <w:rPr>
          <w:i/>
        </w:rPr>
        <w:t>Prevnar</w:t>
      </w:r>
      <w:proofErr w:type="spellEnd"/>
      <w:r w:rsidRPr="00B36862">
        <w:rPr>
          <w:i/>
        </w:rPr>
        <w:t>,</w:t>
      </w:r>
      <w:r w:rsidR="006429E1">
        <w:rPr>
          <w:i/>
        </w:rPr>
        <w:t xml:space="preserve"> (</w:t>
      </w:r>
      <w:proofErr w:type="spellStart"/>
      <w:r w:rsidR="006429E1">
        <w:rPr>
          <w:i/>
        </w:rPr>
        <w:t>prevnar</w:t>
      </w:r>
      <w:proofErr w:type="spellEnd"/>
      <w:r w:rsidR="006429E1">
        <w:rPr>
          <w:i/>
        </w:rPr>
        <w:t xml:space="preserve"> before </w:t>
      </w:r>
      <w:proofErr w:type="spellStart"/>
      <w:r w:rsidR="006429E1">
        <w:rPr>
          <w:i/>
        </w:rPr>
        <w:t>pneumovax</w:t>
      </w:r>
      <w:proofErr w:type="spellEnd"/>
      <w:r w:rsidR="006429E1">
        <w:rPr>
          <w:i/>
        </w:rPr>
        <w:t>)</w:t>
      </w:r>
      <w:r w:rsidRPr="00B36862">
        <w:rPr>
          <w:i/>
        </w:rPr>
        <w:t xml:space="preserve"> HAV, HBV</w:t>
      </w:r>
    </w:p>
    <w:p w14:paraId="30D076AE" w14:textId="77777777" w:rsidR="00B36862" w:rsidRDefault="006429E1" w:rsidP="008E1AA8">
      <w:pPr>
        <w:spacing w:after="0" w:line="240" w:lineRule="auto"/>
      </w:pPr>
      <w:r>
        <w:rPr>
          <w:noProof/>
        </w:rPr>
        <w:drawing>
          <wp:inline distT="0" distB="0" distL="0" distR="0" wp14:anchorId="1E22ACF9" wp14:editId="33527EA7">
            <wp:extent cx="5248275" cy="42406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5250006" cy="4242072"/>
                    </a:xfrm>
                    <a:prstGeom prst="rect">
                      <a:avLst/>
                    </a:prstGeom>
                  </pic:spPr>
                </pic:pic>
              </a:graphicData>
            </a:graphic>
          </wp:inline>
        </w:drawing>
      </w:r>
    </w:p>
    <w:p w14:paraId="4865CAFA" w14:textId="77777777" w:rsidR="008E1AA8" w:rsidRPr="004E00D1" w:rsidRDefault="006429E1" w:rsidP="008E1AA8">
      <w:pPr>
        <w:spacing w:after="0" w:line="240" w:lineRule="auto"/>
        <w:rPr>
          <w:i/>
        </w:rPr>
      </w:pPr>
      <w:r w:rsidRPr="004E00D1">
        <w:rPr>
          <w:i/>
        </w:rPr>
        <w:lastRenderedPageBreak/>
        <w:t xml:space="preserve">Have learners note what </w:t>
      </w:r>
      <w:r w:rsidR="004E00D1" w:rsidRPr="004E00D1">
        <w:rPr>
          <w:i/>
        </w:rPr>
        <w:t xml:space="preserve">vaccines (live) are contraindicated in patients with low CD4 counts. Can discuss why </w:t>
      </w:r>
      <w:proofErr w:type="spellStart"/>
      <w:r w:rsidR="004E00D1" w:rsidRPr="004E00D1">
        <w:rPr>
          <w:i/>
        </w:rPr>
        <w:t>prevnar</w:t>
      </w:r>
      <w:proofErr w:type="spellEnd"/>
      <w:r w:rsidR="004E00D1" w:rsidRPr="004E00D1">
        <w:rPr>
          <w:i/>
        </w:rPr>
        <w:t xml:space="preserve"> should be given prior to </w:t>
      </w:r>
      <w:proofErr w:type="spellStart"/>
      <w:r w:rsidR="004E00D1" w:rsidRPr="004E00D1">
        <w:rPr>
          <w:i/>
        </w:rPr>
        <w:t>pneumovax</w:t>
      </w:r>
      <w:proofErr w:type="spellEnd"/>
      <w:r w:rsidR="004E00D1" w:rsidRPr="004E00D1">
        <w:rPr>
          <w:i/>
        </w:rPr>
        <w:t xml:space="preserve">. </w:t>
      </w:r>
      <w:proofErr w:type="spellStart"/>
      <w:r w:rsidR="004E00D1" w:rsidRPr="004E00D1">
        <w:rPr>
          <w:i/>
        </w:rPr>
        <w:t>Prevnar</w:t>
      </w:r>
      <w:proofErr w:type="spellEnd"/>
      <w:r w:rsidR="004E00D1" w:rsidRPr="004E00D1">
        <w:rPr>
          <w:i/>
        </w:rPr>
        <w:t xml:space="preserve">, PCV13 is a conjugated vaccine whereas </w:t>
      </w:r>
      <w:proofErr w:type="spellStart"/>
      <w:r w:rsidR="004E00D1" w:rsidRPr="004E00D1">
        <w:rPr>
          <w:i/>
        </w:rPr>
        <w:t>pneumovax</w:t>
      </w:r>
      <w:proofErr w:type="spellEnd"/>
      <w:r w:rsidR="004E00D1" w:rsidRPr="004E00D1">
        <w:rPr>
          <w:i/>
        </w:rPr>
        <w:t>, PPSV, is a polysaccharide vaccine. PCV is recognized as T cell dependent, stimulating antibody response, mucosal immunity, and immunologic memory. PCV stimulates memory B cells and can “prime” the immune system for an enhanced secondary immune response to PPSV.</w:t>
      </w:r>
    </w:p>
    <w:p w14:paraId="26162931" w14:textId="1BF7EF40" w:rsidR="00423C1E" w:rsidRDefault="00423C1E" w:rsidP="008E1AA8">
      <w:pPr>
        <w:spacing w:after="0" w:line="240" w:lineRule="auto"/>
      </w:pPr>
    </w:p>
    <w:p w14:paraId="3B370AA7" w14:textId="77777777" w:rsidR="008E1AA8" w:rsidRDefault="008E1AA8" w:rsidP="008E1AA8">
      <w:pPr>
        <w:spacing w:after="0" w:line="240" w:lineRule="auto"/>
      </w:pPr>
    </w:p>
    <w:p w14:paraId="49A077F1" w14:textId="77777777" w:rsidR="00E73180" w:rsidRDefault="00423C1E" w:rsidP="008E1AA8">
      <w:pPr>
        <w:spacing w:after="0" w:line="240" w:lineRule="auto"/>
      </w:pPr>
      <w:r>
        <w:t>Case #1 Continued…</w:t>
      </w:r>
    </w:p>
    <w:p w14:paraId="2C263923" w14:textId="77777777" w:rsidR="00686E07" w:rsidRDefault="00B36862" w:rsidP="00686E07">
      <w:pPr>
        <w:spacing w:before="240"/>
      </w:pPr>
      <w:r w:rsidRPr="000562C3">
        <w:rPr>
          <w:b/>
          <w:noProof/>
        </w:rPr>
        <w:drawing>
          <wp:anchor distT="0" distB="0" distL="114300" distR="114300" simplePos="0" relativeHeight="251658240" behindDoc="0" locked="0" layoutInCell="1" allowOverlap="1" wp14:anchorId="7ED18BB7" wp14:editId="47E9F922">
            <wp:simplePos x="0" y="0"/>
            <wp:positionH relativeFrom="column">
              <wp:posOffset>4152900</wp:posOffset>
            </wp:positionH>
            <wp:positionV relativeFrom="paragraph">
              <wp:posOffset>685165</wp:posOffset>
            </wp:positionV>
            <wp:extent cx="2143125" cy="26739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4426"/>
                    <a:stretch/>
                  </pic:blipFill>
                  <pic:spPr bwMode="auto">
                    <a:xfrm>
                      <a:off x="0" y="0"/>
                      <a:ext cx="2143125" cy="26739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23C1E">
        <w:t xml:space="preserve">Your patient moves to Florida and loses touch with the medical system.  12 years </w:t>
      </w:r>
      <w:proofErr w:type="gramStart"/>
      <w:r w:rsidR="00423C1E">
        <w:t>later</w:t>
      </w:r>
      <w:proofErr w:type="gramEnd"/>
      <w:r w:rsidR="00423C1E">
        <w:t xml:space="preserve"> he presents as a 39 year old male with a generalized tonic-</w:t>
      </w:r>
      <w:proofErr w:type="spellStart"/>
      <w:r w:rsidR="00423C1E">
        <w:t>clonic</w:t>
      </w:r>
      <w:proofErr w:type="spellEnd"/>
      <w:r w:rsidR="00423C1E">
        <w:t xml:space="preserve"> seizure.  Prior to this, he had a 2-3 week history of fevers and headaches.  His CD4 count is 14, His HIV RNA is &gt;500,000.  He is confused, and has a temperature of 101.  </w:t>
      </w:r>
      <w:r w:rsidR="00AF6F16">
        <w:t xml:space="preserve">He has no nuchal </w:t>
      </w:r>
      <w:proofErr w:type="gramStart"/>
      <w:r w:rsidR="00AF6F16">
        <w:t>rigidity,</w:t>
      </w:r>
      <w:proofErr w:type="gramEnd"/>
      <w:r w:rsidR="00AF6F16">
        <w:t xml:space="preserve"> o</w:t>
      </w:r>
      <w:r w:rsidR="00423C1E">
        <w:t xml:space="preserve">n a cursory neurologic exam he has no focal abnormalities.  </w:t>
      </w:r>
    </w:p>
    <w:p w14:paraId="516AAC5C" w14:textId="77777777" w:rsidR="00B36862" w:rsidRDefault="00AF6C63" w:rsidP="00686E07">
      <w:pPr>
        <w:spacing w:before="240"/>
      </w:pPr>
      <w:r>
        <w:t xml:space="preserve">6)  What study would you like? </w:t>
      </w:r>
      <w:r w:rsidR="00423C1E">
        <w:t>What</w:t>
      </w:r>
      <w:r>
        <w:t xml:space="preserve"> is your on differential</w:t>
      </w:r>
      <w:r w:rsidR="00423C1E">
        <w:t xml:space="preserve">?  </w:t>
      </w:r>
      <w:r>
        <w:t>What do you think is most likely?</w:t>
      </w:r>
    </w:p>
    <w:p w14:paraId="04632B8E" w14:textId="77777777" w:rsidR="00AF6C63" w:rsidRPr="00B36862" w:rsidRDefault="00AF6C63" w:rsidP="00B36862">
      <w:pPr>
        <w:ind w:left="360"/>
        <w:rPr>
          <w:b/>
          <w:i/>
        </w:rPr>
      </w:pPr>
      <w:r w:rsidRPr="00B36862">
        <w:rPr>
          <w:b/>
          <w:i/>
        </w:rPr>
        <w:t xml:space="preserve">CT </w:t>
      </w:r>
      <w:proofErr w:type="gramStart"/>
      <w:r w:rsidRPr="00B36862">
        <w:rPr>
          <w:b/>
          <w:i/>
        </w:rPr>
        <w:t>Scan</w:t>
      </w:r>
      <w:proofErr w:type="gramEnd"/>
      <w:r w:rsidRPr="00B36862">
        <w:rPr>
          <w:b/>
          <w:i/>
        </w:rPr>
        <w:t xml:space="preserve"> without Contrast showed a space occupying lesion in the bilateral </w:t>
      </w:r>
      <w:proofErr w:type="spellStart"/>
      <w:r w:rsidRPr="00B36862">
        <w:rPr>
          <w:b/>
          <w:i/>
        </w:rPr>
        <w:t>temporoparietal</w:t>
      </w:r>
      <w:proofErr w:type="spellEnd"/>
      <w:r w:rsidRPr="00B36862">
        <w:rPr>
          <w:b/>
          <w:i/>
        </w:rPr>
        <w:t xml:space="preserve"> regions.  MRI With Gadolinium showed the following</w:t>
      </w:r>
      <w:proofErr w:type="gramStart"/>
      <w:r w:rsidRPr="00B36862">
        <w:rPr>
          <w:b/>
          <w:i/>
        </w:rPr>
        <w:t>:</w:t>
      </w:r>
      <w:proofErr w:type="gramEnd"/>
      <w:r w:rsidRPr="00B36862">
        <w:rPr>
          <w:b/>
          <w:i/>
        </w:rPr>
        <w:br/>
      </w:r>
      <w:r w:rsidRPr="00B36862">
        <w:rPr>
          <w:i/>
        </w:rPr>
        <w:t xml:space="preserve">We see a </w:t>
      </w:r>
      <w:r w:rsidRPr="00B36862">
        <w:rPr>
          <w:b/>
          <w:i/>
        </w:rPr>
        <w:t>ring enhancing lesion</w:t>
      </w:r>
      <w:r w:rsidRPr="00B36862">
        <w:rPr>
          <w:i/>
        </w:rPr>
        <w:t xml:space="preserve"> on imaging. Most concerning given his CD4 count is </w:t>
      </w:r>
      <w:r w:rsidRPr="00B36862">
        <w:rPr>
          <w:b/>
          <w:i/>
        </w:rPr>
        <w:t>Toxoplasmosis or CNS Lymphoma</w:t>
      </w:r>
      <w:r w:rsidRPr="00B36862">
        <w:rPr>
          <w:i/>
        </w:rPr>
        <w:t>.</w:t>
      </w:r>
      <w:r w:rsidR="00AF6F16" w:rsidRPr="00B36862">
        <w:rPr>
          <w:i/>
        </w:rPr>
        <w:t xml:space="preserve">  Toxoplasmosis often has multiple ring-enhancing lesions.  This is less likely but</w:t>
      </w:r>
      <w:r w:rsidR="007F2D71">
        <w:rPr>
          <w:i/>
        </w:rPr>
        <w:t xml:space="preserve"> also</w:t>
      </w:r>
      <w:r w:rsidR="00AF6F16" w:rsidRPr="00B36862">
        <w:rPr>
          <w:i/>
        </w:rPr>
        <w:t xml:space="preserve"> still concerning for brain abscess or tuberculosis.</w:t>
      </w:r>
    </w:p>
    <w:p w14:paraId="6B8A89CD" w14:textId="77777777" w:rsidR="00AF6F16" w:rsidRDefault="00AF6F16">
      <w:r>
        <w:t xml:space="preserve">7)  How would </w:t>
      </w:r>
      <w:r w:rsidR="008E1AA8">
        <w:t>you further evaluate him</w:t>
      </w:r>
      <w:r>
        <w:t>?  How would you proceed to treat and/or differentiate</w:t>
      </w:r>
      <w:r w:rsidR="008E1AA8">
        <w:t xml:space="preserve"> between </w:t>
      </w:r>
      <w:r>
        <w:t>etiologies of your differential?</w:t>
      </w:r>
    </w:p>
    <w:p w14:paraId="3CD5658C" w14:textId="617EAE01" w:rsidR="00AF6F16" w:rsidRPr="00B36862" w:rsidRDefault="00AF6F16" w:rsidP="00B36862">
      <w:pPr>
        <w:ind w:left="360"/>
        <w:rPr>
          <w:i/>
        </w:rPr>
      </w:pPr>
      <w:r w:rsidRPr="00B36862">
        <w:rPr>
          <w:b/>
          <w:i/>
        </w:rPr>
        <w:t xml:space="preserve">Toxoplasmosis serology studies that are negative or a high CD4 would lead you away from toxoplasmosis </w:t>
      </w:r>
      <w:r w:rsidRPr="00B36862">
        <w:rPr>
          <w:i/>
        </w:rPr>
        <w:t xml:space="preserve">– patients are at risk for this </w:t>
      </w:r>
      <w:r w:rsidR="00776D94" w:rsidRPr="00B36862">
        <w:rPr>
          <w:i/>
        </w:rPr>
        <w:t>reactivation</w:t>
      </w:r>
      <w:r w:rsidRPr="00B36862">
        <w:rPr>
          <w:i/>
        </w:rPr>
        <w:t xml:space="preserve"> disease when CD4 drops below 100.</w:t>
      </w:r>
      <w:r w:rsidR="00030D02" w:rsidRPr="00B36862">
        <w:rPr>
          <w:i/>
        </w:rPr>
        <w:t xml:space="preserve">  </w:t>
      </w:r>
      <w:r w:rsidR="00030D02" w:rsidRPr="00B36862">
        <w:rPr>
          <w:b/>
          <w:i/>
        </w:rPr>
        <w:t xml:space="preserve">The only way to tell between toxoplasmosis and CNS lymphoma </w:t>
      </w:r>
      <w:r w:rsidR="00030D02" w:rsidRPr="004E00D1">
        <w:rPr>
          <w:b/>
          <w:i/>
          <w:u w:val="single"/>
        </w:rPr>
        <w:t>for sure</w:t>
      </w:r>
      <w:r w:rsidR="00030D02" w:rsidRPr="00B36862">
        <w:rPr>
          <w:b/>
          <w:i/>
        </w:rPr>
        <w:t xml:space="preserve"> is via brain biopsy.  </w:t>
      </w:r>
      <w:r w:rsidR="00030D02" w:rsidRPr="00B36862">
        <w:rPr>
          <w:i/>
        </w:rPr>
        <w:t xml:space="preserve">If clinically the </w:t>
      </w:r>
      <w:proofErr w:type="spellStart"/>
      <w:r w:rsidR="00030D02" w:rsidRPr="00B36862">
        <w:rPr>
          <w:i/>
        </w:rPr>
        <w:t>pt</w:t>
      </w:r>
      <w:proofErr w:type="spellEnd"/>
      <w:r w:rsidR="00030D02" w:rsidRPr="00B36862">
        <w:rPr>
          <w:i/>
        </w:rPr>
        <w:t xml:space="preserve"> is at risk for </w:t>
      </w:r>
      <w:proofErr w:type="spellStart"/>
      <w:r w:rsidR="00030D02" w:rsidRPr="00B36862">
        <w:rPr>
          <w:i/>
        </w:rPr>
        <w:t>toxo</w:t>
      </w:r>
      <w:proofErr w:type="spellEnd"/>
      <w:r w:rsidR="00030D02" w:rsidRPr="00B36862">
        <w:rPr>
          <w:i/>
        </w:rPr>
        <w:t xml:space="preserve"> and serologically positive, you </w:t>
      </w:r>
      <w:r w:rsidR="004E00D1">
        <w:rPr>
          <w:i/>
        </w:rPr>
        <w:t>should</w:t>
      </w:r>
      <w:r w:rsidR="00030D02" w:rsidRPr="00B36862">
        <w:rPr>
          <w:i/>
        </w:rPr>
        <w:t xml:space="preserve"> </w:t>
      </w:r>
      <w:r w:rsidR="00030D02" w:rsidRPr="00B36862">
        <w:rPr>
          <w:b/>
          <w:i/>
        </w:rPr>
        <w:t>start treatment for toxoplasmosis</w:t>
      </w:r>
      <w:r w:rsidR="00030D02" w:rsidRPr="00B36862">
        <w:rPr>
          <w:i/>
        </w:rPr>
        <w:t xml:space="preserve">.  Toxoplasmosis </w:t>
      </w:r>
      <w:proofErr w:type="gramStart"/>
      <w:r w:rsidR="00030D02" w:rsidRPr="00B36862">
        <w:rPr>
          <w:i/>
        </w:rPr>
        <w:t>is treated</w:t>
      </w:r>
      <w:proofErr w:type="gramEnd"/>
      <w:r w:rsidR="00030D02" w:rsidRPr="00B36862">
        <w:rPr>
          <w:i/>
        </w:rPr>
        <w:t xml:space="preserve"> with </w:t>
      </w:r>
      <w:proofErr w:type="spellStart"/>
      <w:r w:rsidR="00030D02" w:rsidRPr="00B36862">
        <w:rPr>
          <w:i/>
        </w:rPr>
        <w:t>pyrimethamine</w:t>
      </w:r>
      <w:proofErr w:type="spellEnd"/>
      <w:r w:rsidR="00030D02" w:rsidRPr="00B36862">
        <w:rPr>
          <w:i/>
        </w:rPr>
        <w:t xml:space="preserve"> and </w:t>
      </w:r>
      <w:proofErr w:type="spellStart"/>
      <w:r w:rsidR="00030D02" w:rsidRPr="00B36862">
        <w:rPr>
          <w:i/>
        </w:rPr>
        <w:t>sulfadizine</w:t>
      </w:r>
      <w:proofErr w:type="spellEnd"/>
      <w:r w:rsidR="00030D02" w:rsidRPr="00B36862">
        <w:rPr>
          <w:i/>
        </w:rPr>
        <w:t xml:space="preserve">, </w:t>
      </w:r>
      <w:proofErr w:type="spellStart"/>
      <w:r w:rsidR="00030D02" w:rsidRPr="00B36862">
        <w:rPr>
          <w:i/>
        </w:rPr>
        <w:t>Leucovorin</w:t>
      </w:r>
      <w:proofErr w:type="spellEnd"/>
      <w:r w:rsidR="00030D02" w:rsidRPr="00B36862">
        <w:rPr>
          <w:i/>
        </w:rPr>
        <w:t xml:space="preserve"> is a folic acid </w:t>
      </w:r>
      <w:proofErr w:type="spellStart"/>
      <w:r w:rsidR="00030D02" w:rsidRPr="00B36862">
        <w:rPr>
          <w:i/>
        </w:rPr>
        <w:t>anolog</w:t>
      </w:r>
      <w:proofErr w:type="spellEnd"/>
      <w:r w:rsidR="00030D02" w:rsidRPr="00B36862">
        <w:rPr>
          <w:i/>
        </w:rPr>
        <w:t xml:space="preserve"> to help prevent marrow hematologic toxicity from </w:t>
      </w:r>
      <w:proofErr w:type="spellStart"/>
      <w:r w:rsidR="00030D02" w:rsidRPr="00B36862">
        <w:rPr>
          <w:i/>
        </w:rPr>
        <w:t>pyrimethamine</w:t>
      </w:r>
      <w:proofErr w:type="spellEnd"/>
      <w:r w:rsidR="00030D02" w:rsidRPr="00B36862">
        <w:rPr>
          <w:i/>
        </w:rPr>
        <w:t>.  If clinical improvement within several days, you can continue to follow for radiologic improvement within 2-3 weeks.  Otherwise, you may need a brain biopsy.</w:t>
      </w:r>
    </w:p>
    <w:p w14:paraId="61A5913C" w14:textId="77777777" w:rsidR="0027348F" w:rsidRDefault="0051474B">
      <w:r>
        <w:t>8) How could this complication have been prevented in this patient? What are the indications for prophylaxis against Toxoplasmosis in patients with HIV?</w:t>
      </w:r>
    </w:p>
    <w:p w14:paraId="27C1A1C9" w14:textId="77777777" w:rsidR="0051474B" w:rsidRDefault="0051474B" w:rsidP="0051474B">
      <w:pPr>
        <w:ind w:left="360"/>
        <w:rPr>
          <w:i/>
        </w:rPr>
      </w:pPr>
      <w:r>
        <w:rPr>
          <w:i/>
        </w:rPr>
        <w:t xml:space="preserve">Patients with a </w:t>
      </w:r>
      <w:r w:rsidRPr="0051474B">
        <w:rPr>
          <w:b/>
          <w:i/>
        </w:rPr>
        <w:t>CD4 count &lt;100 AND positive Toxoplasma IgG</w:t>
      </w:r>
      <w:r>
        <w:rPr>
          <w:i/>
        </w:rPr>
        <w:t xml:space="preserve"> should be </w:t>
      </w:r>
      <w:r w:rsidR="004E00D1">
        <w:rPr>
          <w:i/>
        </w:rPr>
        <w:t>given prophylaxis</w:t>
      </w:r>
      <w:r>
        <w:rPr>
          <w:i/>
        </w:rPr>
        <w:t xml:space="preserve">. First line is </w:t>
      </w:r>
      <w:r w:rsidRPr="0051474B">
        <w:rPr>
          <w:b/>
          <w:i/>
        </w:rPr>
        <w:t>TMP-SMX 1 DS tab daily</w:t>
      </w:r>
      <w:r>
        <w:rPr>
          <w:i/>
        </w:rPr>
        <w:t xml:space="preserve">. Alternative regimens include </w:t>
      </w:r>
      <w:proofErr w:type="spellStart"/>
      <w:r>
        <w:rPr>
          <w:i/>
        </w:rPr>
        <w:t>dapsone</w:t>
      </w:r>
      <w:proofErr w:type="spellEnd"/>
      <w:r>
        <w:rPr>
          <w:i/>
        </w:rPr>
        <w:t xml:space="preserve"> + </w:t>
      </w:r>
      <w:proofErr w:type="spellStart"/>
      <w:r>
        <w:rPr>
          <w:i/>
        </w:rPr>
        <w:t>pyrimethamine</w:t>
      </w:r>
      <w:proofErr w:type="spellEnd"/>
      <w:r>
        <w:rPr>
          <w:i/>
        </w:rPr>
        <w:t xml:space="preserve"> + </w:t>
      </w:r>
      <w:proofErr w:type="spellStart"/>
      <w:r>
        <w:rPr>
          <w:i/>
        </w:rPr>
        <w:t>leucovorin</w:t>
      </w:r>
      <w:proofErr w:type="spellEnd"/>
      <w:r>
        <w:rPr>
          <w:i/>
        </w:rPr>
        <w:t xml:space="preserve"> or </w:t>
      </w:r>
      <w:proofErr w:type="spellStart"/>
      <w:r>
        <w:rPr>
          <w:i/>
        </w:rPr>
        <w:t>atovaquone</w:t>
      </w:r>
      <w:proofErr w:type="spellEnd"/>
      <w:r>
        <w:rPr>
          <w:i/>
        </w:rPr>
        <w:t xml:space="preserve"> +/- </w:t>
      </w:r>
      <w:proofErr w:type="spellStart"/>
      <w:r>
        <w:rPr>
          <w:i/>
        </w:rPr>
        <w:t>pyrimethamine</w:t>
      </w:r>
      <w:proofErr w:type="spellEnd"/>
      <w:r>
        <w:rPr>
          <w:i/>
        </w:rPr>
        <w:t xml:space="preserve"> + </w:t>
      </w:r>
      <w:proofErr w:type="spellStart"/>
      <w:r>
        <w:rPr>
          <w:i/>
        </w:rPr>
        <w:t>leucovorin</w:t>
      </w:r>
      <w:proofErr w:type="spellEnd"/>
      <w:r>
        <w:rPr>
          <w:i/>
        </w:rPr>
        <w:t>.</w:t>
      </w:r>
    </w:p>
    <w:p w14:paraId="45E309A9" w14:textId="11A21F3A" w:rsidR="00EE105D" w:rsidRPr="0011220A" w:rsidRDefault="0051474B" w:rsidP="0011220A">
      <w:pPr>
        <w:ind w:left="360"/>
        <w:rPr>
          <w:i/>
        </w:rPr>
      </w:pPr>
      <w:r>
        <w:rPr>
          <w:i/>
        </w:rPr>
        <w:t>Prophylaxis can be discontinued once CD4 &gt;200 sustained over 3 months on ART.</w:t>
      </w:r>
    </w:p>
    <w:p w14:paraId="4529B601" w14:textId="77777777" w:rsidR="007D10D8" w:rsidRDefault="007D10D8"/>
    <w:p w14:paraId="56191E83" w14:textId="48753CEE" w:rsidR="0027348F" w:rsidRDefault="0011220A">
      <w:r>
        <w:lastRenderedPageBreak/>
        <w:t>Questions for the Expert</w:t>
      </w:r>
    </w:p>
    <w:p w14:paraId="4FD5644A" w14:textId="54AF4C54" w:rsidR="0011220A" w:rsidRDefault="0011220A">
      <w:r>
        <w:t>Break</w:t>
      </w:r>
    </w:p>
    <w:p w14:paraId="1CB46840" w14:textId="77777777" w:rsidR="0027348F" w:rsidRDefault="0027348F">
      <w:r>
        <w:t>Case #2</w:t>
      </w:r>
    </w:p>
    <w:p w14:paraId="50101EDD" w14:textId="77777777" w:rsidR="0027348F" w:rsidRDefault="0027348F">
      <w:proofErr w:type="gramStart"/>
      <w:r>
        <w:t>32</w:t>
      </w:r>
      <w:proofErr w:type="gramEnd"/>
      <w:r>
        <w:t xml:space="preserve"> y/o M presents with 2 weeks of shortness of breath, dyspnea on exertion, and cough.  He has a 25 </w:t>
      </w:r>
      <w:proofErr w:type="spellStart"/>
      <w:r>
        <w:t>lb</w:t>
      </w:r>
      <w:proofErr w:type="spellEnd"/>
      <w:r>
        <w:t xml:space="preserve"> weight loss over the past 2-3 months.  He was diagnosed HIV+ in 2006, had a “pneumonia”</w:t>
      </w:r>
      <w:r w:rsidR="00686E07">
        <w:t xml:space="preserve"> five </w:t>
      </w:r>
      <w:proofErr w:type="spellStart"/>
      <w:r w:rsidR="00686E07">
        <w:t>mos</w:t>
      </w:r>
      <w:proofErr w:type="spellEnd"/>
      <w:r w:rsidR="00686E07">
        <w:t xml:space="preserve"> ago, now takes only</w:t>
      </w:r>
      <w:r w:rsidR="00985329">
        <w:t xml:space="preserve"> OTC medications.  When he had “pneumonia”, his CD4 was 135, HIV Quant 329,000</w:t>
      </w:r>
      <w:r>
        <w:br/>
        <w:t>T 103F, HR 132, BP 80/40, RR 24, SaO2 80% on RA.</w:t>
      </w:r>
      <w:r>
        <w:br/>
        <w:t>He is thin, in moderate respiratory distress, has a mildly productive cough, no lymphadenopathy, and has some minor diffuse crackles in his lungs bilaterally.</w:t>
      </w:r>
    </w:p>
    <w:p w14:paraId="157CE64B" w14:textId="77777777" w:rsidR="00985329" w:rsidRDefault="00433878" w:rsidP="00433878">
      <w:proofErr w:type="gramStart"/>
      <w:r>
        <w:t>1)</w:t>
      </w:r>
      <w:r w:rsidR="00985329">
        <w:t>What</w:t>
      </w:r>
      <w:proofErr w:type="gramEnd"/>
      <w:r w:rsidR="00985329">
        <w:t xml:space="preserve"> do you think is going on?</w:t>
      </w:r>
      <w:r w:rsidR="00292BC3" w:rsidRPr="00292BC3">
        <w:t xml:space="preserve"> </w:t>
      </w:r>
      <w:r w:rsidR="00292BC3">
        <w:t>How will you confirm your diagnosis?</w:t>
      </w:r>
    </w:p>
    <w:p w14:paraId="739B9533" w14:textId="77777777" w:rsidR="00433878" w:rsidRPr="00292BC3" w:rsidRDefault="00985329" w:rsidP="00292BC3">
      <w:pPr>
        <w:ind w:left="360"/>
        <w:rPr>
          <w:i/>
        </w:rPr>
      </w:pPr>
      <w:r w:rsidRPr="00B36862">
        <w:rPr>
          <w:b/>
          <w:i/>
        </w:rPr>
        <w:t>Discuss differential: Concerning for PCP Pneumonia</w:t>
      </w:r>
      <w:r w:rsidRPr="00B36862">
        <w:rPr>
          <w:i/>
        </w:rPr>
        <w:t xml:space="preserve"> – why?  Subacute +/- acute decompensation, SOB, dry cough, fever, diffuse bilateral infiltrate. </w:t>
      </w:r>
      <w:proofErr w:type="spellStart"/>
      <w:r w:rsidR="0027527F" w:rsidRPr="00B36862">
        <w:rPr>
          <w:i/>
        </w:rPr>
        <w:t>CXRay</w:t>
      </w:r>
      <w:proofErr w:type="spellEnd"/>
      <w:r w:rsidR="0027527F" w:rsidRPr="00B36862">
        <w:rPr>
          <w:i/>
        </w:rPr>
        <w:t xml:space="preserve"> can be </w:t>
      </w:r>
      <w:proofErr w:type="spellStart"/>
      <w:r w:rsidR="0027527F" w:rsidRPr="00B36862">
        <w:rPr>
          <w:i/>
        </w:rPr>
        <w:t>wnl</w:t>
      </w:r>
      <w:proofErr w:type="spellEnd"/>
      <w:r w:rsidR="0027527F" w:rsidRPr="00B36862">
        <w:rPr>
          <w:i/>
        </w:rPr>
        <w:t xml:space="preserve"> in 1/3 of </w:t>
      </w:r>
      <w:proofErr w:type="gramStart"/>
      <w:r w:rsidR="0027527F" w:rsidRPr="00B36862">
        <w:rPr>
          <w:i/>
        </w:rPr>
        <w:t>cases,</w:t>
      </w:r>
      <w:proofErr w:type="gramEnd"/>
      <w:r w:rsidR="0027527F" w:rsidRPr="00B36862">
        <w:rPr>
          <w:i/>
        </w:rPr>
        <w:t xml:space="preserve"> High Res CT often has ground glass opacities.  </w:t>
      </w:r>
      <w:r w:rsidRPr="00B36862">
        <w:rPr>
          <w:b/>
          <w:i/>
        </w:rPr>
        <w:t>Bacterial Pneumonia?  Tuberculosis?  Histoplasmosis?</w:t>
      </w:r>
    </w:p>
    <w:p w14:paraId="32B7AA15" w14:textId="77777777" w:rsidR="0051474B" w:rsidRPr="0051474B" w:rsidRDefault="0051474B" w:rsidP="00B36862">
      <w:pPr>
        <w:ind w:left="360"/>
        <w:rPr>
          <w:i/>
        </w:rPr>
      </w:pPr>
      <w:r w:rsidRPr="0051474B">
        <w:rPr>
          <w:i/>
        </w:rPr>
        <w:t>Definitive diagnosis can only be made by demonstration of organism in tissue, sputum, or BAL fluid.</w:t>
      </w:r>
    </w:p>
    <w:p w14:paraId="4B04B87A" w14:textId="77777777" w:rsidR="00433878" w:rsidRDefault="00433878" w:rsidP="00B36862">
      <w:pPr>
        <w:ind w:left="360"/>
        <w:rPr>
          <w:b/>
          <w:i/>
        </w:rPr>
      </w:pPr>
      <w:r w:rsidRPr="00B36862">
        <w:rPr>
          <w:b/>
          <w:i/>
        </w:rPr>
        <w:t>Induced Sputum: Sensitivity 50-90%.</w:t>
      </w:r>
      <w:r w:rsidRPr="00B36862">
        <w:rPr>
          <w:i/>
        </w:rPr>
        <w:t xml:space="preserve">  Consider obtaining if </w:t>
      </w:r>
      <w:proofErr w:type="spellStart"/>
      <w:r w:rsidR="0051474B">
        <w:rPr>
          <w:i/>
        </w:rPr>
        <w:t>bronch</w:t>
      </w:r>
      <w:proofErr w:type="spellEnd"/>
      <w:r w:rsidR="0051474B">
        <w:rPr>
          <w:i/>
        </w:rPr>
        <w:t xml:space="preserve"> is</w:t>
      </w:r>
      <w:r w:rsidRPr="00B36862">
        <w:rPr>
          <w:i/>
        </w:rPr>
        <w:t xml:space="preserve"> delayed.</w:t>
      </w:r>
      <w:r w:rsidRPr="00B36862">
        <w:rPr>
          <w:i/>
        </w:rPr>
        <w:br/>
      </w:r>
      <w:r w:rsidRPr="00B36862">
        <w:rPr>
          <w:b/>
          <w:i/>
        </w:rPr>
        <w:t>Bronchoscopy: Sensitivity 96-98%</w:t>
      </w:r>
      <w:r w:rsidRPr="00B36862">
        <w:rPr>
          <w:i/>
        </w:rPr>
        <w:t xml:space="preserve"> by obtaining samples for PCR.  </w:t>
      </w:r>
      <w:r w:rsidRPr="00B36862">
        <w:rPr>
          <w:i/>
        </w:rPr>
        <w:br/>
      </w:r>
      <w:r w:rsidR="004E00D1">
        <w:rPr>
          <w:b/>
          <w:i/>
        </w:rPr>
        <w:t>Discuss</w:t>
      </w:r>
      <w:r w:rsidRPr="00B36862">
        <w:rPr>
          <w:b/>
          <w:i/>
        </w:rPr>
        <w:t xml:space="preserve"> empiric treatment vs definitive diagnosis.</w:t>
      </w:r>
    </w:p>
    <w:p w14:paraId="0F25F9CA" w14:textId="77777777" w:rsidR="004E00D1" w:rsidRDefault="004E00D1" w:rsidP="00B36862">
      <w:pPr>
        <w:ind w:left="360"/>
        <w:rPr>
          <w:i/>
        </w:rPr>
      </w:pPr>
      <w:r>
        <w:rPr>
          <w:b/>
          <w:i/>
        </w:rPr>
        <w:t>What about other possible tests?</w:t>
      </w:r>
      <w:r w:rsidRPr="004E00D1">
        <w:rPr>
          <w:i/>
        </w:rPr>
        <w:t xml:space="preserve"> Beta d </w:t>
      </w:r>
      <w:proofErr w:type="spellStart"/>
      <w:r w:rsidRPr="004E00D1">
        <w:rPr>
          <w:i/>
        </w:rPr>
        <w:t>glucan</w:t>
      </w:r>
      <w:proofErr w:type="spellEnd"/>
      <w:r w:rsidRPr="004E00D1">
        <w:rPr>
          <w:i/>
        </w:rPr>
        <w:t xml:space="preserve"> will be elevated in patients with PJP. Ask learners what this detects. Some may mention LDH, used to be present in 90% of </w:t>
      </w:r>
      <w:r w:rsidR="00815745">
        <w:rPr>
          <w:i/>
        </w:rPr>
        <w:t xml:space="preserve">HIV infected patients with PJP (in the age before ART). </w:t>
      </w:r>
    </w:p>
    <w:p w14:paraId="3EEC6937" w14:textId="77777777" w:rsidR="00E97FA3" w:rsidRPr="00E97FA3" w:rsidRDefault="00E97FA3" w:rsidP="00B36862">
      <w:pPr>
        <w:ind w:left="360"/>
        <w:rPr>
          <w:i/>
        </w:rPr>
      </w:pPr>
      <w:r>
        <w:rPr>
          <w:b/>
          <w:i/>
        </w:rPr>
        <w:t xml:space="preserve">Can discuss management of respiratory failure here as well – </w:t>
      </w:r>
      <w:r>
        <w:rPr>
          <w:i/>
        </w:rPr>
        <w:t xml:space="preserve">the patient needs an ABG, both for grading severity of his respiratory failure (regardless of etiology) and for management decisions related to his likely PJP. </w:t>
      </w:r>
    </w:p>
    <w:p w14:paraId="0E8D2A9E" w14:textId="77777777" w:rsidR="004E00D1" w:rsidRPr="00B36862" w:rsidRDefault="004E00D1" w:rsidP="004E00D1">
      <w:pPr>
        <w:spacing w:after="0" w:line="240" w:lineRule="auto"/>
        <w:ind w:left="360"/>
        <w:rPr>
          <w:i/>
        </w:rPr>
      </w:pPr>
    </w:p>
    <w:p w14:paraId="58A89563" w14:textId="098185DA" w:rsidR="00433878" w:rsidRDefault="00911D7A" w:rsidP="00985329">
      <w:r>
        <w:t>2</w:t>
      </w:r>
      <w:r w:rsidR="00433878">
        <w:t xml:space="preserve">) You obtain the appropriate test and your suspicion </w:t>
      </w:r>
      <w:proofErr w:type="gramStart"/>
      <w:r w:rsidR="00433878">
        <w:t>was confirmed</w:t>
      </w:r>
      <w:proofErr w:type="gramEnd"/>
      <w:r w:rsidR="00433878">
        <w:t xml:space="preserve">.  </w:t>
      </w:r>
      <w:r w:rsidR="001270AE">
        <w:t xml:space="preserve">How do you grade severity? </w:t>
      </w:r>
      <w:r w:rsidR="00433878">
        <w:t>How can you treat this infection?</w:t>
      </w:r>
    </w:p>
    <w:p w14:paraId="5677D453" w14:textId="77777777" w:rsidR="0027527F" w:rsidRDefault="005F516C" w:rsidP="001270AE">
      <w:pPr>
        <w:spacing w:after="0"/>
        <w:ind w:left="360"/>
        <w:rPr>
          <w:i/>
        </w:rPr>
      </w:pPr>
      <w:r w:rsidRPr="001270AE">
        <w:rPr>
          <w:i/>
        </w:rPr>
        <w:t xml:space="preserve">See chart for </w:t>
      </w:r>
      <w:proofErr w:type="spellStart"/>
      <w:r w:rsidRPr="001270AE">
        <w:rPr>
          <w:i/>
        </w:rPr>
        <w:t>Abx</w:t>
      </w:r>
      <w:proofErr w:type="spellEnd"/>
      <w:r w:rsidRPr="001270AE">
        <w:rPr>
          <w:i/>
        </w:rPr>
        <w:t xml:space="preserve"> below.  N</w:t>
      </w:r>
      <w:r w:rsidR="0027527F" w:rsidRPr="001270AE">
        <w:rPr>
          <w:i/>
        </w:rPr>
        <w:t xml:space="preserve">eed ABG </w:t>
      </w:r>
      <w:r w:rsidRPr="001270AE">
        <w:rPr>
          <w:i/>
        </w:rPr>
        <w:t xml:space="preserve">to </w:t>
      </w:r>
      <w:proofErr w:type="spellStart"/>
      <w:r w:rsidRPr="001270AE">
        <w:rPr>
          <w:i/>
        </w:rPr>
        <w:t>eval</w:t>
      </w:r>
      <w:proofErr w:type="spellEnd"/>
      <w:r w:rsidRPr="001270AE">
        <w:rPr>
          <w:i/>
        </w:rPr>
        <w:t xml:space="preserve"> A-a Gradient. LDH useful </w:t>
      </w:r>
      <w:r w:rsidR="0027527F" w:rsidRPr="001270AE">
        <w:rPr>
          <w:i/>
        </w:rPr>
        <w:t>correlates to severity/prognosis</w:t>
      </w:r>
      <w:r w:rsidRPr="001270AE">
        <w:rPr>
          <w:i/>
        </w:rPr>
        <w:t>.</w:t>
      </w:r>
    </w:p>
    <w:p w14:paraId="4E195A6E" w14:textId="77777777" w:rsidR="00292BC3" w:rsidRPr="001270AE" w:rsidRDefault="00292BC3" w:rsidP="001270AE">
      <w:pPr>
        <w:spacing w:after="0"/>
        <w:ind w:left="360"/>
        <w:rPr>
          <w:i/>
        </w:rPr>
      </w:pPr>
      <w:r>
        <w:rPr>
          <w:i/>
        </w:rPr>
        <w:t>Moderate-to-severe disease is</w:t>
      </w:r>
      <w:r w:rsidRPr="00292BC3">
        <w:rPr>
          <w:i/>
        </w:rPr>
        <w:t xml:space="preserve"> defined by </w:t>
      </w:r>
      <w:r w:rsidRPr="00292BC3">
        <w:rPr>
          <w:b/>
          <w:i/>
        </w:rPr>
        <w:t>room air pO2 &lt;70 mm Hg</w:t>
      </w:r>
      <w:r w:rsidRPr="00292BC3">
        <w:rPr>
          <w:i/>
        </w:rPr>
        <w:t xml:space="preserve"> or </w:t>
      </w:r>
      <w:r w:rsidRPr="00292BC3">
        <w:rPr>
          <w:b/>
          <w:i/>
        </w:rPr>
        <w:t>A-a O2 gradient ≥35 mm Hg</w:t>
      </w:r>
    </w:p>
    <w:p w14:paraId="3DAF057A" w14:textId="77777777" w:rsidR="001270AE" w:rsidRPr="001270AE" w:rsidRDefault="001270AE" w:rsidP="001270AE">
      <w:pPr>
        <w:spacing w:after="0"/>
        <w:ind w:left="360"/>
        <w:rPr>
          <w:i/>
        </w:rPr>
      </w:pPr>
      <w:r w:rsidRPr="001270AE">
        <w:rPr>
          <w:i/>
        </w:rPr>
        <w:t>Adverse effects:</w:t>
      </w:r>
    </w:p>
    <w:p w14:paraId="7E71F926" w14:textId="77777777" w:rsidR="001270AE" w:rsidRPr="001270AE" w:rsidRDefault="001270AE" w:rsidP="001270AE">
      <w:pPr>
        <w:spacing w:after="0"/>
        <w:ind w:left="720"/>
        <w:rPr>
          <w:i/>
        </w:rPr>
      </w:pPr>
      <w:r w:rsidRPr="001270AE">
        <w:rPr>
          <w:i/>
        </w:rPr>
        <w:t>TMP-SMX: rash, fever, neutropenia, hyperkalemia, transaminase elevation</w:t>
      </w:r>
    </w:p>
    <w:p w14:paraId="75703338" w14:textId="77777777" w:rsidR="001270AE" w:rsidRPr="001270AE" w:rsidRDefault="001270AE" w:rsidP="001270AE">
      <w:pPr>
        <w:spacing w:after="0"/>
        <w:ind w:left="720"/>
        <w:rPr>
          <w:i/>
        </w:rPr>
      </w:pPr>
      <w:proofErr w:type="spellStart"/>
      <w:r w:rsidRPr="001270AE">
        <w:rPr>
          <w:i/>
        </w:rPr>
        <w:t>Pentamidine</w:t>
      </w:r>
      <w:proofErr w:type="spellEnd"/>
      <w:r w:rsidRPr="001270AE">
        <w:rPr>
          <w:i/>
        </w:rPr>
        <w:t xml:space="preserve">: nephrotoxicity, hyperkalemia, hypoglycemia, hypotension, pancreatitis, dysrhythmias, </w:t>
      </w:r>
      <w:proofErr w:type="spellStart"/>
      <w:r w:rsidRPr="001270AE">
        <w:rPr>
          <w:i/>
        </w:rPr>
        <w:t>transaminitis</w:t>
      </w:r>
      <w:proofErr w:type="spellEnd"/>
    </w:p>
    <w:p w14:paraId="6C69D477" w14:textId="77777777" w:rsidR="001270AE" w:rsidRPr="001270AE" w:rsidRDefault="001270AE" w:rsidP="001270AE">
      <w:pPr>
        <w:spacing w:after="0"/>
        <w:ind w:left="720"/>
        <w:rPr>
          <w:i/>
        </w:rPr>
      </w:pPr>
      <w:proofErr w:type="spellStart"/>
      <w:r w:rsidRPr="001270AE">
        <w:rPr>
          <w:i/>
        </w:rPr>
        <w:t>Atovaquone</w:t>
      </w:r>
      <w:proofErr w:type="spellEnd"/>
      <w:r w:rsidRPr="001270AE">
        <w:rPr>
          <w:i/>
        </w:rPr>
        <w:t xml:space="preserve">: rash, fever, </w:t>
      </w:r>
      <w:proofErr w:type="spellStart"/>
      <w:r w:rsidRPr="001270AE">
        <w:rPr>
          <w:i/>
        </w:rPr>
        <w:t>transaminitis</w:t>
      </w:r>
      <w:proofErr w:type="spellEnd"/>
    </w:p>
    <w:p w14:paraId="3308D371" w14:textId="77777777" w:rsidR="001270AE" w:rsidRPr="001270AE" w:rsidRDefault="001270AE" w:rsidP="001270AE">
      <w:pPr>
        <w:spacing w:after="0"/>
        <w:ind w:left="720"/>
        <w:rPr>
          <w:i/>
        </w:rPr>
      </w:pPr>
      <w:proofErr w:type="spellStart"/>
      <w:r w:rsidRPr="001270AE">
        <w:rPr>
          <w:i/>
        </w:rPr>
        <w:t>Dapsone</w:t>
      </w:r>
      <w:proofErr w:type="spellEnd"/>
      <w:r w:rsidRPr="001270AE">
        <w:rPr>
          <w:i/>
        </w:rPr>
        <w:t xml:space="preserve">: rash, fever, GI upset, </w:t>
      </w:r>
      <w:proofErr w:type="spellStart"/>
      <w:r w:rsidRPr="001270AE">
        <w:rPr>
          <w:i/>
        </w:rPr>
        <w:t>methemoglobinemia</w:t>
      </w:r>
      <w:proofErr w:type="spellEnd"/>
      <w:r w:rsidRPr="001270AE">
        <w:rPr>
          <w:i/>
        </w:rPr>
        <w:t>, hemolytic anemia (G6PD Deficiency)</w:t>
      </w:r>
    </w:p>
    <w:p w14:paraId="74A4536A" w14:textId="77777777" w:rsidR="001270AE" w:rsidRPr="001270AE" w:rsidRDefault="001270AE" w:rsidP="001270AE">
      <w:pPr>
        <w:spacing w:after="0"/>
        <w:ind w:left="720"/>
        <w:rPr>
          <w:i/>
        </w:rPr>
      </w:pPr>
      <w:proofErr w:type="spellStart"/>
      <w:r w:rsidRPr="001270AE">
        <w:rPr>
          <w:i/>
        </w:rPr>
        <w:t>Primaquine</w:t>
      </w:r>
      <w:proofErr w:type="spellEnd"/>
      <w:r w:rsidRPr="001270AE">
        <w:rPr>
          <w:i/>
        </w:rPr>
        <w:t xml:space="preserve">: rash, fever, </w:t>
      </w:r>
      <w:proofErr w:type="spellStart"/>
      <w:r w:rsidRPr="001270AE">
        <w:rPr>
          <w:i/>
        </w:rPr>
        <w:t>methemoglobinemia</w:t>
      </w:r>
      <w:proofErr w:type="spellEnd"/>
      <w:r w:rsidRPr="001270AE">
        <w:rPr>
          <w:i/>
        </w:rPr>
        <w:t xml:space="preserve">, hemolytic </w:t>
      </w:r>
      <w:proofErr w:type="gramStart"/>
      <w:r w:rsidRPr="001270AE">
        <w:rPr>
          <w:i/>
        </w:rPr>
        <w:t>anemia )G6PD</w:t>
      </w:r>
      <w:proofErr w:type="gramEnd"/>
      <w:r w:rsidRPr="001270AE">
        <w:rPr>
          <w:i/>
        </w:rPr>
        <w:t xml:space="preserve"> Deficiency)</w:t>
      </w:r>
    </w:p>
    <w:p w14:paraId="5F2100A4" w14:textId="77777777" w:rsidR="001270AE" w:rsidRPr="001270AE" w:rsidRDefault="001270AE" w:rsidP="001270AE">
      <w:pPr>
        <w:spacing w:after="0"/>
        <w:ind w:left="720"/>
        <w:rPr>
          <w:i/>
        </w:rPr>
      </w:pPr>
      <w:r w:rsidRPr="001270AE">
        <w:rPr>
          <w:i/>
        </w:rPr>
        <w:t>Clindamycin: rash, diarrhea, C diff colitis, abdominal pain</w:t>
      </w:r>
    </w:p>
    <w:p w14:paraId="10228C97" w14:textId="77777777" w:rsidR="000562C3" w:rsidRDefault="00433878" w:rsidP="001270AE">
      <w:pPr>
        <w:ind w:left="720"/>
      </w:pPr>
      <w:r>
        <w:t xml:space="preserve">   </w:t>
      </w:r>
    </w:p>
    <w:p w14:paraId="18783DBF" w14:textId="77777777" w:rsidR="001270AE" w:rsidRDefault="00815745" w:rsidP="00985329">
      <w:r>
        <w:rPr>
          <w:noProof/>
        </w:rPr>
        <w:lastRenderedPageBreak/>
        <w:drawing>
          <wp:inline distT="0" distB="0" distL="0" distR="0" wp14:anchorId="76076324" wp14:editId="14735B76">
            <wp:extent cx="5943600" cy="4634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634865"/>
                    </a:xfrm>
                    <a:prstGeom prst="rect">
                      <a:avLst/>
                    </a:prstGeom>
                  </pic:spPr>
                </pic:pic>
              </a:graphicData>
            </a:graphic>
          </wp:inline>
        </w:drawing>
      </w:r>
    </w:p>
    <w:p w14:paraId="57E58766" w14:textId="77777777" w:rsidR="00E97FA3" w:rsidRDefault="00E97FA3" w:rsidP="00985329"/>
    <w:p w14:paraId="56B3A98E" w14:textId="6410127F" w:rsidR="00E97FA3" w:rsidRPr="0011220A" w:rsidRDefault="00E97FA3" w:rsidP="00985329">
      <w:pPr>
        <w:rPr>
          <w:i/>
        </w:rPr>
      </w:pPr>
      <w:r w:rsidRPr="00E97FA3">
        <w:rPr>
          <w:i/>
        </w:rPr>
        <w:t>Discuss who gets steroids and why. Patients can clinically worsen on the 2</w:t>
      </w:r>
      <w:r w:rsidRPr="00E97FA3">
        <w:rPr>
          <w:i/>
          <w:vertAlign w:val="superscript"/>
        </w:rPr>
        <w:t>nd</w:t>
      </w:r>
      <w:r w:rsidRPr="00E97FA3">
        <w:rPr>
          <w:i/>
        </w:rPr>
        <w:t xml:space="preserve"> and 3</w:t>
      </w:r>
      <w:r w:rsidRPr="00E97FA3">
        <w:rPr>
          <w:i/>
          <w:vertAlign w:val="superscript"/>
        </w:rPr>
        <w:t>rd</w:t>
      </w:r>
      <w:r w:rsidRPr="00E97FA3">
        <w:rPr>
          <w:i/>
        </w:rPr>
        <w:t xml:space="preserve"> days of treatment, thought to be due to inflammation due to dying organisms. Steroids can decrease the mortality and respiratory failure associated with PJP. Compared with placebo, the risk ratios for overall mortality in patients receiving adjunctive corticosteroids were 0.56 at one month and 0.59 at three to four months of follow-up. Corticosteroids for patients with moderate to severe disease </w:t>
      </w:r>
    </w:p>
    <w:p w14:paraId="457C8E24" w14:textId="45A41FB9" w:rsidR="0027527F" w:rsidRDefault="00C276E7" w:rsidP="00985329">
      <w:r>
        <w:t>3</w:t>
      </w:r>
      <w:r w:rsidR="000A5EBA">
        <w:t xml:space="preserve">) </w:t>
      </w:r>
      <w:r w:rsidR="0027527F">
        <w:t>He is now nearing discharge.  What prophylactic medications should this patient be discharged home with?  What pathogens will be covered?</w:t>
      </w:r>
    </w:p>
    <w:p w14:paraId="7AE5A793" w14:textId="77777777" w:rsidR="0011220A" w:rsidRDefault="0027527F" w:rsidP="0011220A">
      <w:pPr>
        <w:ind w:left="360"/>
        <w:rPr>
          <w:b/>
          <w:i/>
        </w:rPr>
      </w:pPr>
      <w:r w:rsidRPr="00686E07">
        <w:rPr>
          <w:i/>
        </w:rPr>
        <w:t>Cover Prophylaxis for Opportunistic Infections:</w:t>
      </w:r>
      <w:r w:rsidRPr="00686E07">
        <w:rPr>
          <w:i/>
        </w:rPr>
        <w:br/>
      </w:r>
      <w:r w:rsidR="0051474B" w:rsidRPr="00686E07">
        <w:rPr>
          <w:b/>
          <w:i/>
        </w:rPr>
        <w:t xml:space="preserve">PCP: Initiate CD4&lt;200. TMP/SMX 1SS or 1DS Daily vs 3x/week.  Or </w:t>
      </w:r>
      <w:proofErr w:type="spellStart"/>
      <w:r w:rsidR="0051474B" w:rsidRPr="00686E07">
        <w:rPr>
          <w:b/>
          <w:i/>
        </w:rPr>
        <w:t>Dapsone</w:t>
      </w:r>
      <w:proofErr w:type="spellEnd"/>
      <w:r w:rsidR="0051474B" w:rsidRPr="00686E07">
        <w:rPr>
          <w:b/>
          <w:i/>
        </w:rPr>
        <w:t xml:space="preserve"> 100mg QD (G6PD!)</w:t>
      </w:r>
      <w:r w:rsidR="0051474B">
        <w:rPr>
          <w:b/>
          <w:i/>
        </w:rPr>
        <w:t xml:space="preserve"> </w:t>
      </w:r>
      <w:r w:rsidRPr="00686E07">
        <w:rPr>
          <w:b/>
          <w:i/>
        </w:rPr>
        <w:t xml:space="preserve">Mycobacterium </w:t>
      </w:r>
      <w:proofErr w:type="spellStart"/>
      <w:r w:rsidRPr="00686E07">
        <w:rPr>
          <w:b/>
          <w:i/>
        </w:rPr>
        <w:t>avium</w:t>
      </w:r>
      <w:proofErr w:type="spellEnd"/>
      <w:r w:rsidRPr="00686E07">
        <w:rPr>
          <w:b/>
          <w:i/>
        </w:rPr>
        <w:t xml:space="preserve"> complex: Initiate at CD4&lt;50.  Azithromycin 1200mg </w:t>
      </w:r>
      <w:proofErr w:type="spellStart"/>
      <w:r w:rsidRPr="00686E07">
        <w:rPr>
          <w:b/>
          <w:i/>
        </w:rPr>
        <w:t>QWeek</w:t>
      </w:r>
      <w:proofErr w:type="spellEnd"/>
      <w:r w:rsidRPr="00686E07">
        <w:rPr>
          <w:b/>
          <w:i/>
        </w:rPr>
        <w:br/>
        <w:t xml:space="preserve">Toxoplasmosis: </w:t>
      </w:r>
      <w:r w:rsidR="0051474B">
        <w:rPr>
          <w:b/>
          <w:i/>
        </w:rPr>
        <w:t>discussed above -i</w:t>
      </w:r>
      <w:r w:rsidRPr="00686E07">
        <w:rPr>
          <w:b/>
          <w:i/>
        </w:rPr>
        <w:t>nitiate at CD4&lt;100.  TMP/SMX 1DS Daily.</w:t>
      </w:r>
    </w:p>
    <w:p w14:paraId="55974201" w14:textId="44D110E3" w:rsidR="0011220A" w:rsidRDefault="0051474B" w:rsidP="002117B9">
      <w:pPr>
        <w:ind w:left="360"/>
        <w:rPr>
          <w:b/>
          <w:i/>
        </w:rPr>
      </w:pPr>
      <w:r w:rsidRPr="00023D6A">
        <w:rPr>
          <w:b/>
          <w:i/>
        </w:rPr>
        <w:t>Histop</w:t>
      </w:r>
      <w:r w:rsidR="00023D6A" w:rsidRPr="00023D6A">
        <w:rPr>
          <w:b/>
          <w:i/>
        </w:rPr>
        <w:t xml:space="preserve">lasmosis: </w:t>
      </w:r>
      <w:r w:rsidR="00E97FA3">
        <w:rPr>
          <w:b/>
          <w:i/>
        </w:rPr>
        <w:t xml:space="preserve">Can discuss. Not routinely done – this is a good question for the expert. </w:t>
      </w:r>
      <w:proofErr w:type="spellStart"/>
      <w:proofErr w:type="gramStart"/>
      <w:r w:rsidR="00023D6A" w:rsidRPr="00023D6A">
        <w:rPr>
          <w:b/>
          <w:i/>
        </w:rPr>
        <w:t>itraconazole</w:t>
      </w:r>
      <w:proofErr w:type="spellEnd"/>
      <w:proofErr w:type="gramEnd"/>
      <w:r w:rsidR="00023D6A" w:rsidRPr="00023D6A">
        <w:rPr>
          <w:b/>
          <w:i/>
        </w:rPr>
        <w:t xml:space="preserve"> at a dose of 200 mg daily</w:t>
      </w:r>
      <w:r w:rsidR="00023D6A" w:rsidRPr="00023D6A">
        <w:rPr>
          <w:i/>
        </w:rPr>
        <w:t xml:space="preserve"> can be considered for patients with CD4 </w:t>
      </w:r>
      <w:r w:rsidR="00023D6A" w:rsidRPr="007D10D8">
        <w:rPr>
          <w:i/>
        </w:rPr>
        <w:t>counts &lt;150</w:t>
      </w:r>
      <w:r w:rsidR="00023D6A" w:rsidRPr="00023D6A">
        <w:rPr>
          <w:i/>
        </w:rPr>
        <w:t xml:space="preserve"> cells/mm3 who are at </w:t>
      </w:r>
      <w:r w:rsidR="00023D6A" w:rsidRPr="007D10D8">
        <w:rPr>
          <w:i/>
        </w:rPr>
        <w:t xml:space="preserve">high risk because of occupational exposure or who live in a community with a </w:t>
      </w:r>
      <w:proofErr w:type="spellStart"/>
      <w:r w:rsidR="00023D6A" w:rsidRPr="007D10D8">
        <w:rPr>
          <w:i/>
        </w:rPr>
        <w:lastRenderedPageBreak/>
        <w:t>hyperendemic</w:t>
      </w:r>
      <w:proofErr w:type="spellEnd"/>
      <w:r w:rsidR="00023D6A" w:rsidRPr="007D10D8">
        <w:rPr>
          <w:i/>
        </w:rPr>
        <w:t xml:space="preserve"> rate of histoplasmosis (&gt;10 cases/100 patient-years).</w:t>
      </w:r>
      <w:r w:rsidR="00023D6A">
        <w:rPr>
          <w:i/>
        </w:rPr>
        <w:t xml:space="preserve"> Ask the expert about indications in our patients.</w:t>
      </w:r>
    </w:p>
    <w:p w14:paraId="2381BB1E" w14:textId="77777777" w:rsidR="002117B9" w:rsidRPr="002117B9" w:rsidRDefault="002117B9" w:rsidP="007D10D8">
      <w:pPr>
        <w:rPr>
          <w:b/>
          <w:i/>
        </w:rPr>
      </w:pPr>
    </w:p>
    <w:p w14:paraId="50975F47" w14:textId="77777777" w:rsidR="00CF1A0A" w:rsidRDefault="00CF1A0A" w:rsidP="00985329">
      <w:r>
        <w:t>Case #3</w:t>
      </w:r>
      <w:r>
        <w:br/>
        <w:t xml:space="preserve">45 y/o F with </w:t>
      </w:r>
      <w:proofErr w:type="spellStart"/>
      <w:r>
        <w:t>PMHx</w:t>
      </w:r>
      <w:proofErr w:type="spellEnd"/>
      <w:r>
        <w:t xml:space="preserve"> AIDS (recent PCP Pneumonia) presents with headache and fever over the last 2 weeks.  Her boyfriend brought her in because she was confused, didn’t know where she was, and wasn’t answering questions appropriately.  Her temperature is 101 and she has some neck rigidity and grimaces when trying to flex her neck.</w:t>
      </w:r>
    </w:p>
    <w:p w14:paraId="5A2F08CC" w14:textId="77777777" w:rsidR="00CF1A0A" w:rsidRDefault="00CF1A0A" w:rsidP="00CF1A0A">
      <w:pPr>
        <w:pStyle w:val="NoSpacing"/>
      </w:pPr>
      <w:r>
        <w:t xml:space="preserve">A CT is obtained which shows mild atrophy, but no mass lesions. A lumbar puncture is performed and analysis of the CSF shows 7 </w:t>
      </w:r>
      <w:proofErr w:type="spellStart"/>
      <w:r>
        <w:t>wbc</w:t>
      </w:r>
      <w:proofErr w:type="spellEnd"/>
      <w:r>
        <w:t>/</w:t>
      </w:r>
      <w:proofErr w:type="gramStart"/>
      <w:r>
        <w:t>mm</w:t>
      </w:r>
      <w:r>
        <w:rPr>
          <w:vertAlign w:val="superscript"/>
        </w:rPr>
        <w:t>3</w:t>
      </w:r>
      <w:r>
        <w:t xml:space="preserve"> ,</w:t>
      </w:r>
      <w:proofErr w:type="gramEnd"/>
      <w:r>
        <w:t xml:space="preserve"> glucose of 41 mg/</w:t>
      </w:r>
      <w:proofErr w:type="spellStart"/>
      <w:r>
        <w:t>dL</w:t>
      </w:r>
      <w:proofErr w:type="spellEnd"/>
      <w:r>
        <w:t xml:space="preserve">, and a negative gram stain. The opening pressure is 310 mmH20. CD4 count is 12. Toxoplasma shows IgG is positive, and IgM is negative. </w:t>
      </w:r>
    </w:p>
    <w:p w14:paraId="59716A6D" w14:textId="77777777" w:rsidR="00CF1A0A" w:rsidRDefault="00CF1A0A" w:rsidP="00CF1A0A">
      <w:pPr>
        <w:pStyle w:val="NoSpacing"/>
      </w:pPr>
    </w:p>
    <w:p w14:paraId="6F0CBC26" w14:textId="45CCFD2B" w:rsidR="00CF1A0A" w:rsidRDefault="00CF1A0A" w:rsidP="00686E07">
      <w:pPr>
        <w:pStyle w:val="NoSpacing"/>
        <w:numPr>
          <w:ilvl w:val="0"/>
          <w:numId w:val="7"/>
        </w:numPr>
        <w:ind w:left="360"/>
      </w:pPr>
      <w:r>
        <w:t xml:space="preserve">What </w:t>
      </w:r>
      <w:r w:rsidR="000B6866">
        <w:t>is your differential diagnosis?</w:t>
      </w:r>
      <w:r>
        <w:t xml:space="preserve">   </w:t>
      </w:r>
    </w:p>
    <w:p w14:paraId="7CF62983" w14:textId="6E984F7E" w:rsidR="00CF1A0A" w:rsidRPr="00122CDE" w:rsidRDefault="00CF1A0A" w:rsidP="00122CDE">
      <w:pPr>
        <w:pStyle w:val="NoSpacing"/>
        <w:ind w:left="720"/>
        <w:rPr>
          <w:b/>
          <w:i/>
        </w:rPr>
      </w:pPr>
      <w:r w:rsidRPr="00122CDE">
        <w:rPr>
          <w:b/>
          <w:i/>
        </w:rPr>
        <w:t xml:space="preserve">The patient’s clinical history is compatible with </w:t>
      </w:r>
      <w:proofErr w:type="spellStart"/>
      <w:r w:rsidRPr="00122CDE">
        <w:rPr>
          <w:b/>
          <w:i/>
        </w:rPr>
        <w:t>cryptococcal</w:t>
      </w:r>
      <w:proofErr w:type="spellEnd"/>
      <w:r w:rsidRPr="00122CDE">
        <w:rPr>
          <w:b/>
          <w:i/>
        </w:rPr>
        <w:t xml:space="preserve"> meningitis. The diagnosis of </w:t>
      </w:r>
      <w:proofErr w:type="spellStart"/>
      <w:r w:rsidRPr="00122CDE">
        <w:rPr>
          <w:b/>
          <w:i/>
        </w:rPr>
        <w:t>cryptococcal</w:t>
      </w:r>
      <w:proofErr w:type="spellEnd"/>
      <w:r w:rsidRPr="00122CDE">
        <w:rPr>
          <w:b/>
          <w:i/>
        </w:rPr>
        <w:t xml:space="preserve"> meningitis should not be ruled out with only 7 </w:t>
      </w:r>
      <w:proofErr w:type="spellStart"/>
      <w:r w:rsidRPr="00122CDE">
        <w:rPr>
          <w:b/>
          <w:i/>
        </w:rPr>
        <w:t>wbc</w:t>
      </w:r>
      <w:proofErr w:type="spellEnd"/>
      <w:r w:rsidRPr="00122CDE">
        <w:rPr>
          <w:b/>
          <w:i/>
        </w:rPr>
        <w:t xml:space="preserve">/mm3 found in the CSF. </w:t>
      </w:r>
      <w:r w:rsidR="00122CDE" w:rsidRPr="00122CDE">
        <w:rPr>
          <w:b/>
          <w:i/>
        </w:rPr>
        <w:t xml:space="preserve"> </w:t>
      </w:r>
      <w:r w:rsidRPr="00122CDE">
        <w:rPr>
          <w:b/>
          <w:i/>
        </w:rPr>
        <w:t xml:space="preserve">More than 50% of AIDS patients with acute </w:t>
      </w:r>
      <w:proofErr w:type="spellStart"/>
      <w:r w:rsidRPr="00122CDE">
        <w:rPr>
          <w:b/>
          <w:i/>
        </w:rPr>
        <w:t>cryptococcal</w:t>
      </w:r>
      <w:proofErr w:type="spellEnd"/>
      <w:r w:rsidRPr="00122CDE">
        <w:rPr>
          <w:b/>
          <w:i/>
        </w:rPr>
        <w:t xml:space="preserve"> meningitis will have a CSF </w:t>
      </w:r>
      <w:proofErr w:type="spellStart"/>
      <w:proofErr w:type="gramStart"/>
      <w:r w:rsidRPr="00122CDE">
        <w:rPr>
          <w:b/>
          <w:i/>
        </w:rPr>
        <w:t>wbc</w:t>
      </w:r>
      <w:proofErr w:type="spellEnd"/>
      <w:proofErr w:type="gramEnd"/>
      <w:r w:rsidRPr="00122CDE">
        <w:rPr>
          <w:b/>
          <w:i/>
        </w:rPr>
        <w:t xml:space="preserve"> count of less than 20. </w:t>
      </w:r>
    </w:p>
    <w:p w14:paraId="0AA389CB" w14:textId="66F727B6" w:rsidR="00CF1A0A" w:rsidRPr="00686E07" w:rsidRDefault="00122CDE" w:rsidP="00122CDE">
      <w:pPr>
        <w:pStyle w:val="NoSpacing"/>
        <w:numPr>
          <w:ilvl w:val="0"/>
          <w:numId w:val="11"/>
        </w:numPr>
        <w:rPr>
          <w:i/>
        </w:rPr>
      </w:pPr>
      <w:r>
        <w:rPr>
          <w:i/>
        </w:rPr>
        <w:t xml:space="preserve">Toxoplasma?  Less likely as </w:t>
      </w:r>
      <w:r w:rsidR="00CF1A0A" w:rsidRPr="00686E07">
        <w:rPr>
          <w:b/>
          <w:i/>
        </w:rPr>
        <w:t>more than 90% of patients with AIDS with Toxoplasma encephalitis will have one or more mass lesion</w:t>
      </w:r>
      <w:r w:rsidR="00CF1A0A" w:rsidRPr="00686E07">
        <w:rPr>
          <w:i/>
        </w:rPr>
        <w:t xml:space="preserve"> observed on contrast brain CT Scan. </w:t>
      </w:r>
    </w:p>
    <w:p w14:paraId="3EE9E652" w14:textId="7BFA99F7" w:rsidR="00CF1A0A" w:rsidRPr="00686E07" w:rsidRDefault="00122CDE" w:rsidP="00122CDE">
      <w:pPr>
        <w:pStyle w:val="NoSpacing"/>
        <w:numPr>
          <w:ilvl w:val="0"/>
          <w:numId w:val="11"/>
        </w:numPr>
        <w:rPr>
          <w:i/>
        </w:rPr>
      </w:pPr>
      <w:r w:rsidRPr="00122CDE">
        <w:rPr>
          <w:i/>
        </w:rPr>
        <w:t>PML?</w:t>
      </w:r>
      <w:r w:rsidRPr="00122CDE">
        <w:rPr>
          <w:i/>
          <w:u w:val="single"/>
        </w:rPr>
        <w:t xml:space="preserve"> </w:t>
      </w:r>
      <w:r w:rsidRPr="00122CDE">
        <w:rPr>
          <w:i/>
        </w:rPr>
        <w:t xml:space="preserve">  The cl</w:t>
      </w:r>
      <w:r w:rsidR="00CF1A0A" w:rsidRPr="00122CDE">
        <w:rPr>
          <w:i/>
        </w:rPr>
        <w:t xml:space="preserve">inical presentation for </w:t>
      </w:r>
      <w:r w:rsidR="00CF1A0A" w:rsidRPr="00122CDE">
        <w:rPr>
          <w:b/>
          <w:i/>
        </w:rPr>
        <w:t>PML does not include f</w:t>
      </w:r>
      <w:r>
        <w:rPr>
          <w:b/>
          <w:i/>
        </w:rPr>
        <w:t>ever</w:t>
      </w:r>
      <w:r w:rsidR="00CF1A0A" w:rsidRPr="00686E07">
        <w:rPr>
          <w:b/>
          <w:i/>
        </w:rPr>
        <w:t xml:space="preserve">. </w:t>
      </w:r>
      <w:r w:rsidR="00CF1A0A" w:rsidRPr="00686E07">
        <w:rPr>
          <w:i/>
        </w:rPr>
        <w:t xml:space="preserve">CT is typically normal, but brain MRI would show extensive white matter lesions. </w:t>
      </w:r>
    </w:p>
    <w:p w14:paraId="2E35ACC2" w14:textId="44A14110" w:rsidR="00CF1A0A" w:rsidRPr="00122CDE" w:rsidRDefault="00122CDE" w:rsidP="00122CDE">
      <w:pPr>
        <w:pStyle w:val="NoSpacing"/>
        <w:numPr>
          <w:ilvl w:val="0"/>
          <w:numId w:val="11"/>
        </w:numPr>
      </w:pPr>
      <w:r w:rsidRPr="00122CDE">
        <w:rPr>
          <w:i/>
        </w:rPr>
        <w:t>M</w:t>
      </w:r>
      <w:r w:rsidR="00CF1A0A" w:rsidRPr="00122CDE">
        <w:rPr>
          <w:i/>
        </w:rPr>
        <w:t xml:space="preserve">ost patients with CNS lymphoma present with a </w:t>
      </w:r>
      <w:r w:rsidR="00CF1A0A" w:rsidRPr="00122CDE">
        <w:rPr>
          <w:b/>
          <w:i/>
        </w:rPr>
        <w:t xml:space="preserve">focal finding and evidence of a mass lesion </w:t>
      </w:r>
      <w:r w:rsidR="00CF1A0A" w:rsidRPr="00122CDE">
        <w:rPr>
          <w:i/>
        </w:rPr>
        <w:t>on brain imaging</w:t>
      </w:r>
      <w:r w:rsidR="00CF1A0A" w:rsidRPr="00122CDE">
        <w:rPr>
          <w:i/>
        </w:rPr>
        <w:br/>
      </w:r>
    </w:p>
    <w:p w14:paraId="5C316791" w14:textId="77777777" w:rsidR="00CF1A0A" w:rsidRDefault="00CF1A0A" w:rsidP="00686E07">
      <w:pPr>
        <w:pStyle w:val="NoSpacing"/>
        <w:numPr>
          <w:ilvl w:val="0"/>
          <w:numId w:val="7"/>
        </w:numPr>
        <w:ind w:left="360"/>
      </w:pPr>
      <w:r>
        <w:t xml:space="preserve">What test helps to make the diagnosis? </w:t>
      </w:r>
    </w:p>
    <w:p w14:paraId="6E5EFE63" w14:textId="77777777" w:rsidR="00CF1A0A" w:rsidRDefault="00CF1A0A" w:rsidP="00CF1A0A">
      <w:pPr>
        <w:pStyle w:val="NoSpacing"/>
      </w:pPr>
    </w:p>
    <w:p w14:paraId="4D521E90" w14:textId="1EFF42BC" w:rsidR="00CF1A0A" w:rsidRPr="00686E07" w:rsidRDefault="00CF1A0A" w:rsidP="006852B6">
      <w:pPr>
        <w:pStyle w:val="NoSpacing"/>
        <w:numPr>
          <w:ilvl w:val="0"/>
          <w:numId w:val="13"/>
        </w:numPr>
        <w:rPr>
          <w:i/>
        </w:rPr>
      </w:pPr>
      <w:proofErr w:type="spellStart"/>
      <w:r w:rsidRPr="00686E07">
        <w:rPr>
          <w:b/>
          <w:i/>
        </w:rPr>
        <w:t>Cryptococcal</w:t>
      </w:r>
      <w:proofErr w:type="spellEnd"/>
      <w:r w:rsidRPr="00686E07">
        <w:rPr>
          <w:b/>
          <w:i/>
        </w:rPr>
        <w:t xml:space="preserve"> antigen test – CSF or Serum. Serum antigen test is positive &gt;95% of patients with active crypto meningitis.  </w:t>
      </w:r>
      <w:r w:rsidRPr="00686E07">
        <w:rPr>
          <w:i/>
        </w:rPr>
        <w:t xml:space="preserve">Lumbar puncture is important to </w:t>
      </w:r>
      <w:proofErr w:type="spellStart"/>
      <w:r w:rsidRPr="00686E07">
        <w:rPr>
          <w:i/>
        </w:rPr>
        <w:t>eval</w:t>
      </w:r>
      <w:proofErr w:type="spellEnd"/>
      <w:r w:rsidRPr="00686E07">
        <w:rPr>
          <w:i/>
        </w:rPr>
        <w:t xml:space="preserve"> for bacterial menin</w:t>
      </w:r>
      <w:r w:rsidR="00122CDE">
        <w:rPr>
          <w:i/>
        </w:rPr>
        <w:t xml:space="preserve">gitis. </w:t>
      </w:r>
    </w:p>
    <w:p w14:paraId="626B6B3A" w14:textId="77777777" w:rsidR="00CF1A0A" w:rsidRPr="00686E07" w:rsidRDefault="00CF1A0A" w:rsidP="006852B6">
      <w:pPr>
        <w:pStyle w:val="NoSpacing"/>
        <w:numPr>
          <w:ilvl w:val="0"/>
          <w:numId w:val="12"/>
        </w:numPr>
        <w:rPr>
          <w:i/>
        </w:rPr>
      </w:pPr>
      <w:r w:rsidRPr="00686E07">
        <w:rPr>
          <w:b/>
          <w:i/>
        </w:rPr>
        <w:t>Opening pressure</w:t>
      </w:r>
      <w:r w:rsidRPr="00686E07">
        <w:rPr>
          <w:i/>
        </w:rPr>
        <w:t xml:space="preserve"> should always be measured and often is the clue that suggests </w:t>
      </w:r>
      <w:proofErr w:type="spellStart"/>
      <w:r w:rsidRPr="00686E07">
        <w:rPr>
          <w:i/>
        </w:rPr>
        <w:t>cryptococcal</w:t>
      </w:r>
      <w:proofErr w:type="spellEnd"/>
      <w:r w:rsidRPr="00686E07">
        <w:rPr>
          <w:i/>
        </w:rPr>
        <w:t xml:space="preserve"> meningitis. In a study among 221 patients, </w:t>
      </w:r>
      <w:r w:rsidRPr="00686E07">
        <w:rPr>
          <w:b/>
          <w:i/>
        </w:rPr>
        <w:t>54% had an opening pressure greater than 250mm</w:t>
      </w:r>
      <w:r w:rsidRPr="00686E07">
        <w:rPr>
          <w:i/>
        </w:rPr>
        <w:t xml:space="preserve"> </w:t>
      </w:r>
      <w:r w:rsidRPr="006852B6">
        <w:rPr>
          <w:b/>
          <w:i/>
        </w:rPr>
        <w:t>H20</w:t>
      </w:r>
      <w:r w:rsidRPr="00686E07">
        <w:rPr>
          <w:i/>
        </w:rPr>
        <w:t xml:space="preserve"> and 27% had an opening pressure greater than 350mm Hg H20. </w:t>
      </w:r>
    </w:p>
    <w:p w14:paraId="4DFD8602" w14:textId="77777777" w:rsidR="00CF1A0A" w:rsidRDefault="00CF1A0A" w:rsidP="00CF1A0A">
      <w:pPr>
        <w:pStyle w:val="NoSpacing"/>
      </w:pPr>
    </w:p>
    <w:p w14:paraId="120AD0D3" w14:textId="77777777" w:rsidR="00CF1A0A" w:rsidRDefault="00CF1A0A" w:rsidP="00686E07">
      <w:pPr>
        <w:pStyle w:val="NoSpacing"/>
        <w:numPr>
          <w:ilvl w:val="0"/>
          <w:numId w:val="7"/>
        </w:numPr>
        <w:ind w:left="360"/>
      </w:pPr>
      <w:r>
        <w:t>How do you treat the inf</w:t>
      </w:r>
      <w:r w:rsidR="000279E2">
        <w:t>ection?</w:t>
      </w:r>
    </w:p>
    <w:p w14:paraId="43F9D6D0" w14:textId="77777777" w:rsidR="00CF1A0A" w:rsidRDefault="00CF1A0A" w:rsidP="00CF1A0A">
      <w:pPr>
        <w:pStyle w:val="NoSpacing"/>
      </w:pPr>
    </w:p>
    <w:p w14:paraId="62B2D130" w14:textId="77777777" w:rsidR="00686E07" w:rsidRPr="00735693" w:rsidRDefault="00CF1A0A" w:rsidP="00686E07">
      <w:pPr>
        <w:pStyle w:val="NoSpacing"/>
        <w:ind w:left="360"/>
        <w:rPr>
          <w:b/>
          <w:i/>
        </w:rPr>
      </w:pPr>
      <w:r w:rsidRPr="00686E07">
        <w:rPr>
          <w:b/>
          <w:i/>
        </w:rPr>
        <w:t xml:space="preserve">Start </w:t>
      </w:r>
      <w:r w:rsidRPr="00304C90">
        <w:rPr>
          <w:b/>
          <w:i/>
          <w:u w:val="single"/>
        </w:rPr>
        <w:t>induction therapy</w:t>
      </w:r>
      <w:r w:rsidRPr="00686E07">
        <w:rPr>
          <w:b/>
          <w:i/>
        </w:rPr>
        <w:t xml:space="preserve"> with amphotericin B (0.7mg/kg) IV PLUS </w:t>
      </w:r>
      <w:proofErr w:type="spellStart"/>
      <w:r w:rsidRPr="00686E07">
        <w:rPr>
          <w:b/>
          <w:i/>
        </w:rPr>
        <w:t>Flucytosine</w:t>
      </w:r>
      <w:proofErr w:type="spellEnd"/>
      <w:r w:rsidRPr="00686E07">
        <w:rPr>
          <w:b/>
          <w:i/>
        </w:rPr>
        <w:t xml:space="preserve"> (100mg/kg PO daily) x 2 weeks</w:t>
      </w:r>
      <w:r w:rsidRPr="00735693">
        <w:rPr>
          <w:b/>
          <w:i/>
        </w:rPr>
        <w:t xml:space="preserve">. </w:t>
      </w:r>
      <w:r w:rsidR="00B634AA" w:rsidRPr="00735693">
        <w:rPr>
          <w:b/>
          <w:i/>
        </w:rPr>
        <w:t>Liposomal amphotericin B preparation 3-5 mg/kg IV (preferred due to lesser side effects)</w:t>
      </w:r>
    </w:p>
    <w:p w14:paraId="0110004C" w14:textId="77777777" w:rsidR="00686E07" w:rsidRDefault="00CF1A0A" w:rsidP="00686E07">
      <w:pPr>
        <w:pStyle w:val="NoSpacing"/>
        <w:ind w:left="360"/>
        <w:rPr>
          <w:i/>
        </w:rPr>
      </w:pPr>
      <w:r w:rsidRPr="00304C90">
        <w:rPr>
          <w:i/>
        </w:rPr>
        <w:t xml:space="preserve">Then </w:t>
      </w:r>
      <w:r w:rsidRPr="00686E07">
        <w:rPr>
          <w:b/>
          <w:i/>
          <w:u w:val="single"/>
        </w:rPr>
        <w:t>consolidation</w:t>
      </w:r>
      <w:r w:rsidRPr="00686E07">
        <w:rPr>
          <w:b/>
          <w:i/>
        </w:rPr>
        <w:t xml:space="preserve"> </w:t>
      </w:r>
      <w:r w:rsidRPr="00304C90">
        <w:rPr>
          <w:b/>
          <w:i/>
          <w:u w:val="single"/>
        </w:rPr>
        <w:t>therapy</w:t>
      </w:r>
      <w:r w:rsidRPr="00686E07">
        <w:rPr>
          <w:b/>
          <w:i/>
        </w:rPr>
        <w:t xml:space="preserve"> fluconazole 400mg </w:t>
      </w:r>
      <w:proofErr w:type="spellStart"/>
      <w:r w:rsidRPr="00686E07">
        <w:rPr>
          <w:b/>
          <w:i/>
        </w:rPr>
        <w:t>po</w:t>
      </w:r>
      <w:proofErr w:type="spellEnd"/>
      <w:r w:rsidRPr="00686E07">
        <w:rPr>
          <w:b/>
          <w:i/>
        </w:rPr>
        <w:t xml:space="preserve"> daily x </w:t>
      </w:r>
      <w:r w:rsidR="00B634AA" w:rsidRPr="00A019AE">
        <w:rPr>
          <w:b/>
          <w:i/>
        </w:rPr>
        <w:t>12</w:t>
      </w:r>
      <w:r w:rsidRPr="00686E07">
        <w:rPr>
          <w:b/>
          <w:i/>
        </w:rPr>
        <w:t xml:space="preserve"> weeks.</w:t>
      </w:r>
      <w:r w:rsidRPr="00686E07">
        <w:rPr>
          <w:i/>
        </w:rPr>
        <w:t xml:space="preserve"> Prior to moving to consolidation, patient must have substantial clinical improvement and a negative CSF fungal culture on repeat lumbar puncture. </w:t>
      </w:r>
    </w:p>
    <w:p w14:paraId="5DE81FA0" w14:textId="6C3830B5" w:rsidR="00CF1A0A" w:rsidRPr="00686E07" w:rsidRDefault="00CF1A0A" w:rsidP="00686E07">
      <w:pPr>
        <w:pStyle w:val="NoSpacing"/>
        <w:ind w:left="360"/>
        <w:rPr>
          <w:i/>
        </w:rPr>
      </w:pPr>
      <w:r w:rsidRPr="00686E07">
        <w:rPr>
          <w:i/>
        </w:rPr>
        <w:t xml:space="preserve">Then step down to </w:t>
      </w:r>
      <w:r w:rsidRPr="00686E07">
        <w:rPr>
          <w:b/>
          <w:i/>
          <w:u w:val="single"/>
        </w:rPr>
        <w:t>Maintenance</w:t>
      </w:r>
      <w:r w:rsidRPr="00304C90">
        <w:rPr>
          <w:b/>
          <w:i/>
          <w:u w:val="single"/>
        </w:rPr>
        <w:t xml:space="preserve"> </w:t>
      </w:r>
      <w:proofErr w:type="gramStart"/>
      <w:r w:rsidRPr="00304C90">
        <w:rPr>
          <w:b/>
          <w:i/>
          <w:u w:val="single"/>
        </w:rPr>
        <w:t>therapy</w:t>
      </w:r>
      <w:r w:rsidRPr="00686E07">
        <w:rPr>
          <w:b/>
          <w:i/>
        </w:rPr>
        <w:t xml:space="preserve"> ,</w:t>
      </w:r>
      <w:proofErr w:type="gramEnd"/>
      <w:r w:rsidRPr="00686E07">
        <w:rPr>
          <w:b/>
          <w:i/>
        </w:rPr>
        <w:t xml:space="preserve"> fluconazole 200mg </w:t>
      </w:r>
      <w:proofErr w:type="spellStart"/>
      <w:r w:rsidRPr="00686E07">
        <w:rPr>
          <w:b/>
          <w:i/>
        </w:rPr>
        <w:t>po</w:t>
      </w:r>
      <w:proofErr w:type="spellEnd"/>
      <w:r w:rsidRPr="00686E07">
        <w:rPr>
          <w:b/>
          <w:i/>
        </w:rPr>
        <w:t xml:space="preserve"> daily. Therapy remains lifelong at 200mg daily unle</w:t>
      </w:r>
      <w:r w:rsidR="000279E2" w:rsidRPr="00686E07">
        <w:rPr>
          <w:b/>
          <w:i/>
        </w:rPr>
        <w:t xml:space="preserve">ss patient has </w:t>
      </w:r>
      <w:r w:rsidRPr="00686E07">
        <w:rPr>
          <w:b/>
          <w:i/>
        </w:rPr>
        <w:t>complet</w:t>
      </w:r>
      <w:r w:rsidR="000279E2" w:rsidRPr="00686E07">
        <w:rPr>
          <w:b/>
          <w:i/>
        </w:rPr>
        <w:t>ed initial course of therapy,</w:t>
      </w:r>
      <w:r w:rsidRPr="00686E07">
        <w:rPr>
          <w:b/>
          <w:i/>
        </w:rPr>
        <w:t xml:space="preserve"> has n</w:t>
      </w:r>
      <w:r w:rsidR="000279E2" w:rsidRPr="00686E07">
        <w:rPr>
          <w:b/>
          <w:i/>
        </w:rPr>
        <w:t xml:space="preserve">o symptoms of </w:t>
      </w:r>
      <w:proofErr w:type="spellStart"/>
      <w:r w:rsidR="000279E2" w:rsidRPr="00686E07">
        <w:rPr>
          <w:b/>
          <w:i/>
        </w:rPr>
        <w:t>cryptococcosis</w:t>
      </w:r>
      <w:proofErr w:type="spellEnd"/>
      <w:r w:rsidR="000279E2" w:rsidRPr="00686E07">
        <w:rPr>
          <w:b/>
          <w:i/>
        </w:rPr>
        <w:t>, and</w:t>
      </w:r>
      <w:r w:rsidRPr="00686E07">
        <w:rPr>
          <w:b/>
          <w:i/>
        </w:rPr>
        <w:t xml:space="preserve"> the patient’s CD4 count &gt;200 for at least 6 months.</w:t>
      </w:r>
      <w:r w:rsidRPr="00686E07">
        <w:rPr>
          <w:i/>
        </w:rPr>
        <w:t xml:space="preserve"> </w:t>
      </w:r>
    </w:p>
    <w:p w14:paraId="2D1229EC" w14:textId="77777777" w:rsidR="00CF1A0A" w:rsidRDefault="00CF1A0A" w:rsidP="00CF1A0A">
      <w:pPr>
        <w:pStyle w:val="NoSpacing"/>
      </w:pPr>
    </w:p>
    <w:p w14:paraId="2CDF1E26" w14:textId="77777777" w:rsidR="000279E2" w:rsidRDefault="00C72F90" w:rsidP="00686E07">
      <w:pPr>
        <w:pStyle w:val="ListParagraph"/>
        <w:numPr>
          <w:ilvl w:val="0"/>
          <w:numId w:val="7"/>
        </w:numPr>
        <w:tabs>
          <w:tab w:val="left" w:pos="360"/>
        </w:tabs>
        <w:ind w:left="0" w:firstLine="0"/>
      </w:pPr>
      <w:r>
        <w:lastRenderedPageBreak/>
        <w:t xml:space="preserve">Your patient is started on the above therapy as well as HAART.  </w:t>
      </w:r>
      <w:r w:rsidR="000279E2">
        <w:t>At admission your patient initially improves, but then over the next 24-48 hours her mental status waxes and wanes.  Her nurse calls you to the bedside to evaluate the patient – she is worried your patient may be seizing.  What could be going on?</w:t>
      </w:r>
    </w:p>
    <w:p w14:paraId="0694625D" w14:textId="77777777" w:rsidR="00C72F90" w:rsidRPr="00686E07" w:rsidRDefault="000279E2" w:rsidP="00686E07">
      <w:pPr>
        <w:ind w:left="360"/>
        <w:rPr>
          <w:b/>
          <w:i/>
        </w:rPr>
      </w:pPr>
      <w:r w:rsidRPr="00686E07">
        <w:rPr>
          <w:i/>
        </w:rPr>
        <w:t xml:space="preserve">Among other things, the patient could have symptoms from </w:t>
      </w:r>
      <w:r w:rsidRPr="00686E07">
        <w:rPr>
          <w:b/>
          <w:i/>
        </w:rPr>
        <w:t>increased intracranial pressure</w:t>
      </w:r>
      <w:r w:rsidRPr="00686E07">
        <w:rPr>
          <w:i/>
        </w:rPr>
        <w:t xml:space="preserve">.  They may require </w:t>
      </w:r>
      <w:r w:rsidRPr="00686E07">
        <w:rPr>
          <w:b/>
          <w:i/>
        </w:rPr>
        <w:t>serial lumbar puncture taps</w:t>
      </w:r>
      <w:r w:rsidRPr="00686E07">
        <w:rPr>
          <w:i/>
        </w:rPr>
        <w:t>, especially if the patient is symptomatic.</w:t>
      </w:r>
      <w:r w:rsidR="00C72F90" w:rsidRPr="00686E07">
        <w:rPr>
          <w:i/>
        </w:rPr>
        <w:t xml:space="preserve">  </w:t>
      </w:r>
      <w:r w:rsidR="00C72F90" w:rsidRPr="00686E07">
        <w:rPr>
          <w:b/>
          <w:i/>
        </w:rPr>
        <w:t>Goal CSF pressure is &lt;20cm H2O.</w:t>
      </w:r>
    </w:p>
    <w:p w14:paraId="058E3300" w14:textId="2F90B96C" w:rsidR="00C72F90" w:rsidRDefault="00C72F90" w:rsidP="00686E07">
      <w:pPr>
        <w:pStyle w:val="ListParagraph"/>
        <w:numPr>
          <w:ilvl w:val="0"/>
          <w:numId w:val="7"/>
        </w:numPr>
        <w:tabs>
          <w:tab w:val="left" w:pos="360"/>
        </w:tabs>
        <w:ind w:left="0" w:firstLine="0"/>
      </w:pPr>
      <w:r>
        <w:t>The patient improves with your treatment and is discharged on all of her medications with plans to complete therapy</w:t>
      </w:r>
      <w:r w:rsidR="000562C3">
        <w:t xml:space="preserve"> for her crypto meningitis.  Several</w:t>
      </w:r>
      <w:r>
        <w:t xml:space="preserve"> days later she returns with severe headache, nausea, vomiting, and malaise, and myalgia.  She has had </w:t>
      </w:r>
      <w:proofErr w:type="gramStart"/>
      <w:r>
        <w:t>low grade</w:t>
      </w:r>
      <w:proofErr w:type="gramEnd"/>
      <w:r>
        <w:t xml:space="preserve"> fevers at home.  She’s been taking all of her medicatio</w:t>
      </w:r>
      <w:r w:rsidR="002117B9">
        <w:t>ns, what could be going wrong?</w:t>
      </w:r>
    </w:p>
    <w:p w14:paraId="3B4736BB" w14:textId="5E2625CC" w:rsidR="00C72F90" w:rsidRPr="008E1AA8" w:rsidRDefault="008E1AA8" w:rsidP="00686E07">
      <w:pPr>
        <w:ind w:left="360"/>
        <w:rPr>
          <w:i/>
        </w:rPr>
      </w:pPr>
      <w:r>
        <w:rPr>
          <w:i/>
        </w:rPr>
        <w:t>She</w:t>
      </w:r>
      <w:r w:rsidR="00C72F90" w:rsidRPr="008E1AA8">
        <w:rPr>
          <w:i/>
        </w:rPr>
        <w:t xml:space="preserve"> co</w:t>
      </w:r>
      <w:r w:rsidR="000562C3" w:rsidRPr="008E1AA8">
        <w:rPr>
          <w:i/>
        </w:rPr>
        <w:t>uld have Immune Reconstitution I</w:t>
      </w:r>
      <w:r w:rsidR="00C72F90" w:rsidRPr="008E1AA8">
        <w:rPr>
          <w:i/>
        </w:rPr>
        <w:t>nflammatory Syn</w:t>
      </w:r>
      <w:r w:rsidR="000562C3" w:rsidRPr="008E1AA8">
        <w:rPr>
          <w:i/>
        </w:rPr>
        <w:t xml:space="preserve">drome.  </w:t>
      </w:r>
    </w:p>
    <w:p w14:paraId="360B7276" w14:textId="77777777" w:rsidR="008E1AA8" w:rsidRPr="008E1AA8" w:rsidRDefault="008E1AA8" w:rsidP="008E1AA8">
      <w:pPr>
        <w:spacing w:after="0"/>
        <w:ind w:left="360"/>
        <w:rPr>
          <w:i/>
        </w:rPr>
      </w:pPr>
      <w:r w:rsidRPr="008E1AA8">
        <w:rPr>
          <w:i/>
        </w:rPr>
        <w:t>Consider IRIS when i</w:t>
      </w:r>
      <w:r w:rsidRPr="008E1AA8">
        <w:rPr>
          <w:b/>
          <w:i/>
        </w:rPr>
        <w:t xml:space="preserve">nflammatory signs or symptoms occur after recent initiation, re-initiation, or change </w:t>
      </w:r>
      <w:r w:rsidRPr="008E1AA8">
        <w:rPr>
          <w:i/>
        </w:rPr>
        <w:t xml:space="preserve">to a more effective combination ARV therapy with associated </w:t>
      </w:r>
      <w:r w:rsidRPr="008E1AA8">
        <w:rPr>
          <w:b/>
          <w:i/>
        </w:rPr>
        <w:t>increase in CD4 cell</w:t>
      </w:r>
      <w:r w:rsidRPr="008E1AA8">
        <w:rPr>
          <w:i/>
        </w:rPr>
        <w:t xml:space="preserve"> count and/or decrease in viral load and the following have been excluded:</w:t>
      </w:r>
    </w:p>
    <w:p w14:paraId="7032DA21" w14:textId="77777777" w:rsidR="008E1AA8" w:rsidRPr="008E1AA8" w:rsidRDefault="008E1AA8" w:rsidP="008E1AA8">
      <w:pPr>
        <w:pStyle w:val="ListParagraph"/>
        <w:numPr>
          <w:ilvl w:val="0"/>
          <w:numId w:val="10"/>
        </w:numPr>
        <w:spacing w:after="0" w:line="240" w:lineRule="auto"/>
        <w:rPr>
          <w:i/>
        </w:rPr>
      </w:pPr>
      <w:r w:rsidRPr="008E1AA8">
        <w:rPr>
          <w:i/>
        </w:rPr>
        <w:t xml:space="preserve">Worsening of known infections due to inadequate or inappropriate therapy </w:t>
      </w:r>
    </w:p>
    <w:p w14:paraId="69E705D8" w14:textId="77777777" w:rsidR="008E1AA8" w:rsidRPr="008E1AA8" w:rsidRDefault="008E1AA8" w:rsidP="008E1AA8">
      <w:pPr>
        <w:pStyle w:val="ListParagraph"/>
        <w:numPr>
          <w:ilvl w:val="0"/>
          <w:numId w:val="10"/>
        </w:numPr>
        <w:spacing w:after="0" w:line="240" w:lineRule="auto"/>
        <w:rPr>
          <w:i/>
        </w:rPr>
      </w:pPr>
      <w:r w:rsidRPr="008E1AA8">
        <w:rPr>
          <w:i/>
        </w:rPr>
        <w:t>New infections not known to be associated with IRIS (e.g., ba</w:t>
      </w:r>
      <w:bookmarkStart w:id="0" w:name="_GoBack"/>
      <w:bookmarkEnd w:id="0"/>
      <w:r w:rsidRPr="008E1AA8">
        <w:rPr>
          <w:i/>
        </w:rPr>
        <w:t xml:space="preserve">cterial sepsis) </w:t>
      </w:r>
    </w:p>
    <w:p w14:paraId="5ED811FF" w14:textId="77777777" w:rsidR="008E1AA8" w:rsidRDefault="008E1AA8" w:rsidP="008E1AA8">
      <w:pPr>
        <w:pStyle w:val="ListParagraph"/>
        <w:numPr>
          <w:ilvl w:val="0"/>
          <w:numId w:val="10"/>
        </w:numPr>
        <w:spacing w:after="0" w:line="240" w:lineRule="auto"/>
        <w:rPr>
          <w:i/>
        </w:rPr>
      </w:pPr>
      <w:r w:rsidRPr="008E1AA8">
        <w:rPr>
          <w:i/>
        </w:rPr>
        <w:t>Medication reaction</w:t>
      </w:r>
    </w:p>
    <w:p w14:paraId="05EE32E2" w14:textId="207077B1" w:rsidR="006A32BB" w:rsidRPr="006A32BB" w:rsidRDefault="006A32BB" w:rsidP="006A32BB">
      <w:pPr>
        <w:spacing w:after="0" w:line="240" w:lineRule="auto"/>
        <w:rPr>
          <w:i/>
        </w:rPr>
      </w:pPr>
    </w:p>
    <w:sectPr w:rsidR="006A32BB" w:rsidRPr="006A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A2"/>
    <w:multiLevelType w:val="hybridMultilevel"/>
    <w:tmpl w:val="09DA6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F06F3"/>
    <w:multiLevelType w:val="hybridMultilevel"/>
    <w:tmpl w:val="2CE0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936FF"/>
    <w:multiLevelType w:val="hybridMultilevel"/>
    <w:tmpl w:val="E16C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77AE5"/>
    <w:multiLevelType w:val="hybridMultilevel"/>
    <w:tmpl w:val="ACB29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90FA6"/>
    <w:multiLevelType w:val="hybridMultilevel"/>
    <w:tmpl w:val="68D29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37C74"/>
    <w:multiLevelType w:val="hybridMultilevel"/>
    <w:tmpl w:val="B5E0D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3A2565"/>
    <w:multiLevelType w:val="hybridMultilevel"/>
    <w:tmpl w:val="177AE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33F52"/>
    <w:multiLevelType w:val="hybridMultilevel"/>
    <w:tmpl w:val="E236C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2E7F99"/>
    <w:multiLevelType w:val="hybridMultilevel"/>
    <w:tmpl w:val="05968B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80B99"/>
    <w:multiLevelType w:val="hybridMultilevel"/>
    <w:tmpl w:val="29109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14002A"/>
    <w:multiLevelType w:val="hybridMultilevel"/>
    <w:tmpl w:val="E06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485600"/>
    <w:multiLevelType w:val="hybridMultilevel"/>
    <w:tmpl w:val="E06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90100"/>
    <w:multiLevelType w:val="hybridMultilevel"/>
    <w:tmpl w:val="9B580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563A"/>
    <w:multiLevelType w:val="hybridMultilevel"/>
    <w:tmpl w:val="4CD86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C540EF"/>
    <w:multiLevelType w:val="hybridMultilevel"/>
    <w:tmpl w:val="5B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4"/>
  </w:num>
  <w:num w:numId="5">
    <w:abstractNumId w:val="2"/>
  </w:num>
  <w:num w:numId="6">
    <w:abstractNumId w:val="0"/>
  </w:num>
  <w:num w:numId="7">
    <w:abstractNumId w:val="10"/>
  </w:num>
  <w:num w:numId="8">
    <w:abstractNumId w:val="8"/>
  </w:num>
  <w:num w:numId="9">
    <w:abstractNumId w:val="11"/>
  </w:num>
  <w:num w:numId="10">
    <w:abstractNumId w:val="13"/>
  </w:num>
  <w:num w:numId="11">
    <w:abstractNumId w:val="5"/>
  </w:num>
  <w:num w:numId="12">
    <w:abstractNumId w:val="9"/>
  </w:num>
  <w:num w:numId="13">
    <w:abstractNumId w:val="7"/>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08"/>
    <w:rsid w:val="00023D6A"/>
    <w:rsid w:val="000279E2"/>
    <w:rsid w:val="00030D02"/>
    <w:rsid w:val="000562C3"/>
    <w:rsid w:val="000A5EBA"/>
    <w:rsid w:val="000B6866"/>
    <w:rsid w:val="000F3475"/>
    <w:rsid w:val="000F3DB6"/>
    <w:rsid w:val="0011220A"/>
    <w:rsid w:val="00122CDE"/>
    <w:rsid w:val="0012697F"/>
    <w:rsid w:val="001270AE"/>
    <w:rsid w:val="002117B9"/>
    <w:rsid w:val="0027348F"/>
    <w:rsid w:val="0027527F"/>
    <w:rsid w:val="00292BC3"/>
    <w:rsid w:val="002B696E"/>
    <w:rsid w:val="002D35EC"/>
    <w:rsid w:val="002F501B"/>
    <w:rsid w:val="002F69D8"/>
    <w:rsid w:val="00304C90"/>
    <w:rsid w:val="00423C1E"/>
    <w:rsid w:val="00433878"/>
    <w:rsid w:val="0049242E"/>
    <w:rsid w:val="004E00D1"/>
    <w:rsid w:val="0051474B"/>
    <w:rsid w:val="005A3FCE"/>
    <w:rsid w:val="005B0D64"/>
    <w:rsid w:val="005E2241"/>
    <w:rsid w:val="005F516C"/>
    <w:rsid w:val="006429E1"/>
    <w:rsid w:val="006852B6"/>
    <w:rsid w:val="00686E07"/>
    <w:rsid w:val="006A32BB"/>
    <w:rsid w:val="006B7895"/>
    <w:rsid w:val="006F4323"/>
    <w:rsid w:val="00735693"/>
    <w:rsid w:val="00776D94"/>
    <w:rsid w:val="007D10D8"/>
    <w:rsid w:val="007F2D71"/>
    <w:rsid w:val="00815745"/>
    <w:rsid w:val="00860B25"/>
    <w:rsid w:val="008E1AA8"/>
    <w:rsid w:val="00911D7A"/>
    <w:rsid w:val="00922F78"/>
    <w:rsid w:val="00985329"/>
    <w:rsid w:val="00A019AE"/>
    <w:rsid w:val="00A05400"/>
    <w:rsid w:val="00AF6C63"/>
    <w:rsid w:val="00AF6F16"/>
    <w:rsid w:val="00AF79B7"/>
    <w:rsid w:val="00B36862"/>
    <w:rsid w:val="00B54828"/>
    <w:rsid w:val="00B634AA"/>
    <w:rsid w:val="00B76D08"/>
    <w:rsid w:val="00C276E7"/>
    <w:rsid w:val="00C3711A"/>
    <w:rsid w:val="00C72F90"/>
    <w:rsid w:val="00CC3E81"/>
    <w:rsid w:val="00CF1A0A"/>
    <w:rsid w:val="00CF6ECD"/>
    <w:rsid w:val="00D85039"/>
    <w:rsid w:val="00D93591"/>
    <w:rsid w:val="00DA363B"/>
    <w:rsid w:val="00E73180"/>
    <w:rsid w:val="00E97FA3"/>
    <w:rsid w:val="00EE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A9C9C"/>
  <w15:docId w15:val="{52E58D46-2EC3-4266-8E75-4ABA93B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ECD"/>
    <w:pPr>
      <w:ind w:left="720"/>
      <w:contextualSpacing/>
    </w:pPr>
  </w:style>
  <w:style w:type="paragraph" w:styleId="NoSpacing">
    <w:name w:val="No Spacing"/>
    <w:uiPriority w:val="1"/>
    <w:qFormat/>
    <w:rsid w:val="00CF1A0A"/>
    <w:pPr>
      <w:spacing w:after="0" w:line="240" w:lineRule="auto"/>
    </w:pPr>
  </w:style>
  <w:style w:type="paragraph" w:styleId="BalloonText">
    <w:name w:val="Balloon Text"/>
    <w:basedOn w:val="Normal"/>
    <w:link w:val="BalloonTextChar"/>
    <w:uiPriority w:val="99"/>
    <w:semiHidden/>
    <w:unhideWhenUsed/>
    <w:rsid w:val="006F4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5296">
      <w:bodyDiv w:val="1"/>
      <w:marLeft w:val="0"/>
      <w:marRight w:val="0"/>
      <w:marTop w:val="0"/>
      <w:marBottom w:val="0"/>
      <w:divBdr>
        <w:top w:val="none" w:sz="0" w:space="0" w:color="auto"/>
        <w:left w:val="none" w:sz="0" w:space="0" w:color="auto"/>
        <w:bottom w:val="none" w:sz="0" w:space="0" w:color="auto"/>
        <w:right w:val="none" w:sz="0" w:space="0" w:color="auto"/>
      </w:divBdr>
      <w:divsChild>
        <w:div w:id="1495874526">
          <w:marLeft w:val="144"/>
          <w:marRight w:val="0"/>
          <w:marTop w:val="240"/>
          <w:marBottom w:val="40"/>
          <w:divBdr>
            <w:top w:val="none" w:sz="0" w:space="0" w:color="auto"/>
            <w:left w:val="none" w:sz="0" w:space="0" w:color="auto"/>
            <w:bottom w:val="none" w:sz="0" w:space="0" w:color="auto"/>
            <w:right w:val="none" w:sz="0" w:space="0" w:color="auto"/>
          </w:divBdr>
        </w:div>
        <w:div w:id="238945007">
          <w:marLeft w:val="605"/>
          <w:marRight w:val="0"/>
          <w:marTop w:val="40"/>
          <w:marBottom w:val="80"/>
          <w:divBdr>
            <w:top w:val="none" w:sz="0" w:space="0" w:color="auto"/>
            <w:left w:val="none" w:sz="0" w:space="0" w:color="auto"/>
            <w:bottom w:val="none" w:sz="0" w:space="0" w:color="auto"/>
            <w:right w:val="none" w:sz="0" w:space="0" w:color="auto"/>
          </w:divBdr>
        </w:div>
        <w:div w:id="35666992">
          <w:marLeft w:val="605"/>
          <w:marRight w:val="0"/>
          <w:marTop w:val="40"/>
          <w:marBottom w:val="80"/>
          <w:divBdr>
            <w:top w:val="none" w:sz="0" w:space="0" w:color="auto"/>
            <w:left w:val="none" w:sz="0" w:space="0" w:color="auto"/>
            <w:bottom w:val="none" w:sz="0" w:space="0" w:color="auto"/>
            <w:right w:val="none" w:sz="0" w:space="0" w:color="auto"/>
          </w:divBdr>
        </w:div>
        <w:div w:id="40831687">
          <w:marLeft w:val="605"/>
          <w:marRight w:val="0"/>
          <w:marTop w:val="40"/>
          <w:marBottom w:val="80"/>
          <w:divBdr>
            <w:top w:val="none" w:sz="0" w:space="0" w:color="auto"/>
            <w:left w:val="none" w:sz="0" w:space="0" w:color="auto"/>
            <w:bottom w:val="none" w:sz="0" w:space="0" w:color="auto"/>
            <w:right w:val="none" w:sz="0" w:space="0" w:color="auto"/>
          </w:divBdr>
        </w:div>
        <w:div w:id="1945729424">
          <w:marLeft w:val="893"/>
          <w:marRight w:val="0"/>
          <w:marTop w:val="40"/>
          <w:marBottom w:val="80"/>
          <w:divBdr>
            <w:top w:val="none" w:sz="0" w:space="0" w:color="auto"/>
            <w:left w:val="none" w:sz="0" w:space="0" w:color="auto"/>
            <w:bottom w:val="none" w:sz="0" w:space="0" w:color="auto"/>
            <w:right w:val="none" w:sz="0" w:space="0" w:color="auto"/>
          </w:divBdr>
        </w:div>
        <w:div w:id="2068675210">
          <w:marLeft w:val="893"/>
          <w:marRight w:val="0"/>
          <w:marTop w:val="40"/>
          <w:marBottom w:val="80"/>
          <w:divBdr>
            <w:top w:val="none" w:sz="0" w:space="0" w:color="auto"/>
            <w:left w:val="none" w:sz="0" w:space="0" w:color="auto"/>
            <w:bottom w:val="none" w:sz="0" w:space="0" w:color="auto"/>
            <w:right w:val="none" w:sz="0" w:space="0" w:color="auto"/>
          </w:divBdr>
        </w:div>
        <w:div w:id="1630941360">
          <w:marLeft w:val="144"/>
          <w:marRight w:val="0"/>
          <w:marTop w:val="240"/>
          <w:marBottom w:val="40"/>
          <w:divBdr>
            <w:top w:val="none" w:sz="0" w:space="0" w:color="auto"/>
            <w:left w:val="none" w:sz="0" w:space="0" w:color="auto"/>
            <w:bottom w:val="none" w:sz="0" w:space="0" w:color="auto"/>
            <w:right w:val="none" w:sz="0" w:space="0" w:color="auto"/>
          </w:divBdr>
        </w:div>
        <w:div w:id="1614170078">
          <w:marLeft w:val="605"/>
          <w:marRight w:val="0"/>
          <w:marTop w:val="40"/>
          <w:marBottom w:val="80"/>
          <w:divBdr>
            <w:top w:val="none" w:sz="0" w:space="0" w:color="auto"/>
            <w:left w:val="none" w:sz="0" w:space="0" w:color="auto"/>
            <w:bottom w:val="none" w:sz="0" w:space="0" w:color="auto"/>
            <w:right w:val="none" w:sz="0" w:space="0" w:color="auto"/>
          </w:divBdr>
        </w:div>
        <w:div w:id="896093319">
          <w:marLeft w:val="605"/>
          <w:marRight w:val="0"/>
          <w:marTop w:val="40"/>
          <w:marBottom w:val="80"/>
          <w:divBdr>
            <w:top w:val="none" w:sz="0" w:space="0" w:color="auto"/>
            <w:left w:val="none" w:sz="0" w:space="0" w:color="auto"/>
            <w:bottom w:val="none" w:sz="0" w:space="0" w:color="auto"/>
            <w:right w:val="none" w:sz="0" w:space="0" w:color="auto"/>
          </w:divBdr>
        </w:div>
        <w:div w:id="888030255">
          <w:marLeft w:val="144"/>
          <w:marRight w:val="0"/>
          <w:marTop w:val="240"/>
          <w:marBottom w:val="40"/>
          <w:divBdr>
            <w:top w:val="none" w:sz="0" w:space="0" w:color="auto"/>
            <w:left w:val="none" w:sz="0" w:space="0" w:color="auto"/>
            <w:bottom w:val="none" w:sz="0" w:space="0" w:color="auto"/>
            <w:right w:val="none" w:sz="0" w:space="0" w:color="auto"/>
          </w:divBdr>
        </w:div>
        <w:div w:id="594822499">
          <w:marLeft w:val="605"/>
          <w:marRight w:val="0"/>
          <w:marTop w:val="40"/>
          <w:marBottom w:val="80"/>
          <w:divBdr>
            <w:top w:val="none" w:sz="0" w:space="0" w:color="auto"/>
            <w:left w:val="none" w:sz="0" w:space="0" w:color="auto"/>
            <w:bottom w:val="none" w:sz="0" w:space="0" w:color="auto"/>
            <w:right w:val="none" w:sz="0" w:space="0" w:color="auto"/>
          </w:divBdr>
        </w:div>
        <w:div w:id="1925185538">
          <w:marLeft w:val="605"/>
          <w:marRight w:val="0"/>
          <w:marTop w:val="40"/>
          <w:marBottom w:val="80"/>
          <w:divBdr>
            <w:top w:val="none" w:sz="0" w:space="0" w:color="auto"/>
            <w:left w:val="none" w:sz="0" w:space="0" w:color="auto"/>
            <w:bottom w:val="none" w:sz="0" w:space="0" w:color="auto"/>
            <w:right w:val="none" w:sz="0" w:space="0" w:color="auto"/>
          </w:divBdr>
        </w:div>
        <w:div w:id="82531820">
          <w:marLeft w:val="144"/>
          <w:marRight w:val="0"/>
          <w:marTop w:val="240"/>
          <w:marBottom w:val="40"/>
          <w:divBdr>
            <w:top w:val="none" w:sz="0" w:space="0" w:color="auto"/>
            <w:left w:val="none" w:sz="0" w:space="0" w:color="auto"/>
            <w:bottom w:val="none" w:sz="0" w:space="0" w:color="auto"/>
            <w:right w:val="none" w:sz="0" w:space="0" w:color="auto"/>
          </w:divBdr>
        </w:div>
        <w:div w:id="906494730">
          <w:marLeft w:val="605"/>
          <w:marRight w:val="0"/>
          <w:marTop w:val="40"/>
          <w:marBottom w:val="80"/>
          <w:divBdr>
            <w:top w:val="none" w:sz="0" w:space="0" w:color="auto"/>
            <w:left w:val="none" w:sz="0" w:space="0" w:color="auto"/>
            <w:bottom w:val="none" w:sz="0" w:space="0" w:color="auto"/>
            <w:right w:val="none" w:sz="0" w:space="0" w:color="auto"/>
          </w:divBdr>
        </w:div>
      </w:divsChild>
    </w:div>
    <w:div w:id="5608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Hellmann</dc:creator>
  <cp:lastModifiedBy>Welford, Elliott</cp:lastModifiedBy>
  <cp:revision>27</cp:revision>
  <dcterms:created xsi:type="dcterms:W3CDTF">2016-10-19T19:43:00Z</dcterms:created>
  <dcterms:modified xsi:type="dcterms:W3CDTF">2018-09-13T13:15:00Z</dcterms:modified>
</cp:coreProperties>
</file>