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2D29" w14:textId="2797A9E6" w:rsidR="004A64E0" w:rsidRPr="004A64E0" w:rsidRDefault="00BE1DFF" w:rsidP="004A64E0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anchor distT="0" distB="0" distL="114300" distR="114300" simplePos="0" relativeHeight="251661312" behindDoc="0" locked="0" layoutInCell="1" allowOverlap="1" wp14:anchorId="6DF10549" wp14:editId="130375FD">
            <wp:simplePos x="0" y="0"/>
            <wp:positionH relativeFrom="column">
              <wp:posOffset>4671588</wp:posOffset>
            </wp:positionH>
            <wp:positionV relativeFrom="paragraph">
              <wp:posOffset>-633743</wp:posOffset>
            </wp:positionV>
            <wp:extent cx="1690363" cy="783134"/>
            <wp:effectExtent l="0" t="0" r="0" b="4445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63" cy="783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4E0" w:rsidRPr="004A64E0">
        <w:rPr>
          <w:b/>
          <w:sz w:val="24"/>
          <w:szCs w:val="24"/>
        </w:rPr>
        <w:t xml:space="preserve">AHD – </w:t>
      </w:r>
      <w:r w:rsidR="004A64E0">
        <w:rPr>
          <w:b/>
          <w:sz w:val="24"/>
          <w:szCs w:val="24"/>
        </w:rPr>
        <w:t>Endocarditis</w:t>
      </w:r>
    </w:p>
    <w:p w14:paraId="3458A501" w14:textId="77777777" w:rsidR="003970C8" w:rsidRPr="002A2C64" w:rsidRDefault="00941CBD" w:rsidP="004A64E0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Learner</w:t>
      </w:r>
      <w:r w:rsidR="004A64E0" w:rsidRPr="004A64E0">
        <w:rPr>
          <w:b/>
          <w:sz w:val="24"/>
          <w:szCs w:val="24"/>
        </w:rPr>
        <w:t xml:space="preserve"> Guide</w:t>
      </w:r>
    </w:p>
    <w:p w14:paraId="672A6659" w14:textId="77777777" w:rsidR="004A64E0" w:rsidRDefault="004A64E0" w:rsidP="003970C8">
      <w:pPr>
        <w:pStyle w:val="Body"/>
        <w:spacing w:after="0"/>
        <w:rPr>
          <w:b/>
          <w:bCs/>
          <w:iCs/>
          <w:sz w:val="24"/>
          <w:szCs w:val="24"/>
        </w:rPr>
      </w:pPr>
    </w:p>
    <w:p w14:paraId="20BA1763" w14:textId="4B2BD321" w:rsidR="00EA3040" w:rsidRDefault="00EB2097" w:rsidP="00EA3040">
      <w:pPr>
        <w:pStyle w:val="Body"/>
        <w:spacing w:after="0"/>
        <w:rPr>
          <w:b/>
          <w:bCs/>
          <w:iCs/>
        </w:rPr>
      </w:pPr>
      <w:r>
        <w:rPr>
          <w:b/>
          <w:bCs/>
          <w:iCs/>
        </w:rPr>
        <w:t>Learning objectives:</w:t>
      </w:r>
    </w:p>
    <w:p w14:paraId="1400AFEA" w14:textId="77777777" w:rsidR="00EB2097" w:rsidRPr="00EB2097" w:rsidRDefault="00EB2097" w:rsidP="00EB2097">
      <w:pPr>
        <w:pStyle w:val="Body"/>
        <w:numPr>
          <w:ilvl w:val="0"/>
          <w:numId w:val="32"/>
        </w:numPr>
        <w:spacing w:after="0"/>
        <w:rPr>
          <w:bCs/>
          <w:iCs/>
        </w:rPr>
      </w:pPr>
      <w:r w:rsidRPr="00EB2097">
        <w:rPr>
          <w:bCs/>
          <w:iCs/>
        </w:rPr>
        <w:t xml:space="preserve">Identify at risk populations for endocarditis and explain why this risk is increased. </w:t>
      </w:r>
    </w:p>
    <w:p w14:paraId="796951B6" w14:textId="350EBBEB" w:rsidR="00EB2097" w:rsidRPr="00EB2097" w:rsidRDefault="00EB2097" w:rsidP="00EB2097">
      <w:pPr>
        <w:pStyle w:val="Body"/>
        <w:numPr>
          <w:ilvl w:val="0"/>
          <w:numId w:val="32"/>
        </w:numPr>
        <w:spacing w:after="0"/>
        <w:rPr>
          <w:bCs/>
          <w:iCs/>
        </w:rPr>
      </w:pPr>
      <w:r w:rsidRPr="00EB2097">
        <w:rPr>
          <w:bCs/>
          <w:iCs/>
        </w:rPr>
        <w:t>Initiate appropriate work-up for suspected endocarditis</w:t>
      </w:r>
      <w:r w:rsidR="00002D41">
        <w:rPr>
          <w:bCs/>
          <w:iCs/>
        </w:rPr>
        <w:t xml:space="preserve"> based on history and physical examination. </w:t>
      </w:r>
    </w:p>
    <w:p w14:paraId="5870ABAD" w14:textId="28D12167" w:rsidR="00EB2097" w:rsidRPr="00EB2097" w:rsidRDefault="00EB2097" w:rsidP="00EB2097">
      <w:pPr>
        <w:pStyle w:val="Body"/>
        <w:numPr>
          <w:ilvl w:val="0"/>
          <w:numId w:val="32"/>
        </w:numPr>
        <w:spacing w:after="0"/>
        <w:rPr>
          <w:bCs/>
          <w:iCs/>
        </w:rPr>
      </w:pPr>
      <w:r w:rsidRPr="00EB2097">
        <w:rPr>
          <w:bCs/>
          <w:iCs/>
        </w:rPr>
        <w:t>Recognize patients who require surgical intervention for infective endocarditis</w:t>
      </w:r>
      <w:r w:rsidR="00002D41">
        <w:rPr>
          <w:bCs/>
          <w:iCs/>
        </w:rPr>
        <w:t>.</w:t>
      </w:r>
    </w:p>
    <w:p w14:paraId="6B4F6E08" w14:textId="7576EFB9" w:rsidR="00EB2097" w:rsidRPr="00062AD5" w:rsidRDefault="00EB2097" w:rsidP="00EB2097">
      <w:pPr>
        <w:pStyle w:val="Body"/>
        <w:numPr>
          <w:ilvl w:val="0"/>
          <w:numId w:val="32"/>
        </w:numPr>
        <w:spacing w:after="0"/>
        <w:rPr>
          <w:bCs/>
          <w:iCs/>
        </w:rPr>
      </w:pPr>
      <w:r w:rsidRPr="00EB2097">
        <w:rPr>
          <w:bCs/>
          <w:iCs/>
        </w:rPr>
        <w:t>Prescribe appropriate prophylaxis for medical procedures for patients at increased risk of infective endocarditis.</w:t>
      </w:r>
    </w:p>
    <w:p w14:paraId="0A37501D" w14:textId="77777777" w:rsidR="0039529E" w:rsidRPr="00062AD5" w:rsidRDefault="0039529E" w:rsidP="003970C8">
      <w:pPr>
        <w:pStyle w:val="Body"/>
        <w:spacing w:after="0"/>
        <w:rPr>
          <w:bCs/>
          <w:iCs/>
        </w:rPr>
      </w:pPr>
    </w:p>
    <w:p w14:paraId="3D19CE0E" w14:textId="13171316" w:rsidR="00CE435A" w:rsidRPr="00062AD5" w:rsidRDefault="00CE435A" w:rsidP="00CE435A">
      <w:pPr>
        <w:pStyle w:val="Body"/>
        <w:spacing w:after="0"/>
      </w:pPr>
      <w:r w:rsidRPr="67229887">
        <w:rPr>
          <w:b/>
          <w:bCs/>
        </w:rPr>
        <w:t>Case 1:</w:t>
      </w:r>
      <w:r>
        <w:t xml:space="preserve"> Mr. Stephan Bovis is a 48-year-old male with h/o IVDU </w:t>
      </w:r>
      <w:r w:rsidR="30589463">
        <w:t xml:space="preserve">who </w:t>
      </w:r>
      <w:r>
        <w:t xml:space="preserve">presents with “passing out”.  He was watching TV when he lost consciousness.  </w:t>
      </w:r>
      <w:r w:rsidR="71BE4B49">
        <w:t xml:space="preserve">No </w:t>
      </w:r>
      <w:r>
        <w:t xml:space="preserve">symptoms prior to this episode and this has never happened before.  He </w:t>
      </w:r>
      <w:r w:rsidR="44A3FBC8">
        <w:t xml:space="preserve">has </w:t>
      </w:r>
      <w:r>
        <w:t xml:space="preserve">mild SOB for last week.  SOB is present at all times but worse with exertion.  He has also noticed 3 weeks of increased fatigue, intermittent fevers, and chills.  </w:t>
      </w:r>
    </w:p>
    <w:p w14:paraId="2202BDEA" w14:textId="77777777" w:rsidR="00CE435A" w:rsidRPr="00062AD5" w:rsidRDefault="00CE435A" w:rsidP="00CE435A">
      <w:pPr>
        <w:pStyle w:val="Body"/>
        <w:spacing w:after="0"/>
      </w:pPr>
    </w:p>
    <w:p w14:paraId="5E3C70C7" w14:textId="77777777" w:rsidR="00CE435A" w:rsidRPr="00062AD5" w:rsidRDefault="00CE435A" w:rsidP="00CE435A">
      <w:pPr>
        <w:pStyle w:val="Body"/>
        <w:spacing w:after="0"/>
      </w:pPr>
      <w:r>
        <w:t>PMH: No known PMH</w:t>
      </w:r>
    </w:p>
    <w:p w14:paraId="4FBF7A07" w14:textId="77777777" w:rsidR="00CE435A" w:rsidRPr="00062AD5" w:rsidRDefault="00CE435A" w:rsidP="00CE435A">
      <w:pPr>
        <w:pStyle w:val="Body"/>
        <w:spacing w:after="0"/>
      </w:pPr>
      <w:r>
        <w:t>Medications: PRN tylenol</w:t>
      </w:r>
    </w:p>
    <w:p w14:paraId="7FB9426B" w14:textId="796B18D1" w:rsidR="00CE435A" w:rsidRPr="00062AD5" w:rsidRDefault="00CE435A" w:rsidP="00CE435A">
      <w:pPr>
        <w:pStyle w:val="Body"/>
        <w:spacing w:after="0"/>
      </w:pPr>
      <w:r>
        <w:t xml:space="preserve">Social: Occasional alcohol consumption, smokes 1 ppd, </w:t>
      </w:r>
      <w:r w:rsidR="64505549">
        <w:t>uses IV heroin</w:t>
      </w:r>
      <w:r>
        <w:t xml:space="preserve">. Last use 2 days ago. </w:t>
      </w:r>
    </w:p>
    <w:p w14:paraId="013607F3" w14:textId="0E106FE2" w:rsidR="00CE435A" w:rsidRDefault="00CE435A" w:rsidP="00CE435A">
      <w:pPr>
        <w:pStyle w:val="Body"/>
        <w:spacing w:after="0"/>
      </w:pPr>
      <w:r>
        <w:t xml:space="preserve">Recent injection sites: foot </w:t>
      </w:r>
    </w:p>
    <w:p w14:paraId="10DB992C" w14:textId="77777777" w:rsidR="00CE435A" w:rsidRPr="00062AD5" w:rsidRDefault="00CE435A" w:rsidP="00CE435A">
      <w:pPr>
        <w:pStyle w:val="Body"/>
        <w:spacing w:after="0"/>
        <w:rPr>
          <w:bCs/>
          <w:iCs/>
        </w:rPr>
      </w:pPr>
    </w:p>
    <w:p w14:paraId="538FE0AF" w14:textId="77777777" w:rsidR="00CE435A" w:rsidRPr="00062AD5" w:rsidRDefault="00CE435A" w:rsidP="00CE435A">
      <w:pPr>
        <w:pStyle w:val="Body"/>
        <w:spacing w:after="0"/>
        <w:rPr>
          <w:bCs/>
          <w:iCs/>
        </w:rPr>
      </w:pPr>
      <w:r w:rsidRPr="00062AD5">
        <w:rPr>
          <w:bCs/>
          <w:iCs/>
        </w:rPr>
        <w:t>Physical Exam:</w:t>
      </w:r>
    </w:p>
    <w:p w14:paraId="51AB8BA7" w14:textId="77777777" w:rsidR="00CE435A" w:rsidRPr="00062AD5" w:rsidRDefault="00CE435A" w:rsidP="00CE435A">
      <w:pPr>
        <w:pStyle w:val="Body"/>
        <w:spacing w:after="0"/>
        <w:rPr>
          <w:bCs/>
          <w:iCs/>
        </w:rPr>
      </w:pPr>
      <w:r w:rsidRPr="00062AD5">
        <w:rPr>
          <w:bCs/>
          <w:iCs/>
        </w:rPr>
        <w:t>Vitals: T 101, BP 95/45, HR 105, RR 20, 98% RA</w:t>
      </w:r>
    </w:p>
    <w:p w14:paraId="3D196161" w14:textId="77777777" w:rsidR="00CE435A" w:rsidRPr="00062AD5" w:rsidRDefault="00CE435A" w:rsidP="00CE435A">
      <w:pPr>
        <w:pStyle w:val="Body"/>
        <w:spacing w:after="0"/>
        <w:rPr>
          <w:bCs/>
          <w:iCs/>
        </w:rPr>
      </w:pPr>
      <w:r w:rsidRPr="00062AD5">
        <w:rPr>
          <w:bCs/>
          <w:iCs/>
        </w:rPr>
        <w:t>Gen: Diaphoretic, mild discomfort</w:t>
      </w:r>
    </w:p>
    <w:p w14:paraId="11B9ACAB" w14:textId="77777777" w:rsidR="00CE435A" w:rsidRPr="00062AD5" w:rsidRDefault="00CE435A" w:rsidP="00CE435A">
      <w:pPr>
        <w:pStyle w:val="Body"/>
        <w:spacing w:after="0"/>
        <w:rPr>
          <w:bCs/>
          <w:iCs/>
        </w:rPr>
      </w:pPr>
      <w:r w:rsidRPr="00062AD5">
        <w:rPr>
          <w:bCs/>
          <w:iCs/>
        </w:rPr>
        <w:t>HEENT: PERRL, normal conjunctivae, MMM, multiple dental caries</w:t>
      </w:r>
    </w:p>
    <w:p w14:paraId="1B21DB37" w14:textId="77777777" w:rsidR="00CE435A" w:rsidRPr="00062AD5" w:rsidRDefault="00CE435A" w:rsidP="00CE435A">
      <w:pPr>
        <w:pStyle w:val="Body"/>
        <w:spacing w:after="0"/>
        <w:rPr>
          <w:bCs/>
          <w:iCs/>
        </w:rPr>
      </w:pPr>
      <w:r w:rsidRPr="00062AD5">
        <w:rPr>
          <w:bCs/>
          <w:iCs/>
        </w:rPr>
        <w:t>CV: Tachycardic, regular rhythm, nl S1/S2, no murmur appreciated, no JVD, no edema</w:t>
      </w:r>
    </w:p>
    <w:p w14:paraId="7CE37E34" w14:textId="77777777" w:rsidR="00CE435A" w:rsidRPr="00062AD5" w:rsidRDefault="00CE435A" w:rsidP="00CE435A">
      <w:pPr>
        <w:pStyle w:val="Body"/>
        <w:spacing w:after="0"/>
        <w:rPr>
          <w:bCs/>
          <w:iCs/>
        </w:rPr>
      </w:pPr>
      <w:r w:rsidRPr="00062AD5">
        <w:rPr>
          <w:bCs/>
          <w:iCs/>
        </w:rPr>
        <w:t xml:space="preserve">Resp: CTAB </w:t>
      </w:r>
    </w:p>
    <w:p w14:paraId="3E6D9E0E" w14:textId="77777777" w:rsidR="00CE435A" w:rsidRPr="00062AD5" w:rsidRDefault="00CE435A" w:rsidP="00CE435A">
      <w:pPr>
        <w:pStyle w:val="Body"/>
        <w:spacing w:after="0"/>
        <w:rPr>
          <w:bCs/>
          <w:iCs/>
        </w:rPr>
      </w:pPr>
      <w:r w:rsidRPr="00062AD5">
        <w:rPr>
          <w:bCs/>
          <w:iCs/>
        </w:rPr>
        <w:t>Abd: Soft, NT/ND, +BS</w:t>
      </w:r>
    </w:p>
    <w:p w14:paraId="0E556105" w14:textId="31E36ECD" w:rsidR="00CE435A" w:rsidRDefault="00CE435A" w:rsidP="00CE435A">
      <w:pPr>
        <w:pStyle w:val="Body"/>
        <w:spacing w:after="0"/>
      </w:pPr>
      <w:r>
        <w:t>Skin: Track marks present on bilateral forearms, no erythema or tenderness of feet at recent injection sites</w:t>
      </w:r>
    </w:p>
    <w:p w14:paraId="02EB378F" w14:textId="77777777" w:rsidR="00C77A14" w:rsidRPr="00062AD5" w:rsidRDefault="00C77A14" w:rsidP="004207E5">
      <w:pPr>
        <w:pStyle w:val="Body"/>
        <w:spacing w:after="0"/>
        <w:rPr>
          <w:bCs/>
          <w:iCs/>
        </w:rPr>
      </w:pPr>
    </w:p>
    <w:p w14:paraId="3570FF8F" w14:textId="7C77BFCD" w:rsidR="004207E5" w:rsidRPr="00062AD5" w:rsidRDefault="004207E5" w:rsidP="004207E5">
      <w:pPr>
        <w:pStyle w:val="Body"/>
        <w:spacing w:after="0"/>
        <w:rPr>
          <w:b/>
          <w:bCs/>
          <w:iCs/>
        </w:rPr>
      </w:pPr>
      <w:r>
        <w:rPr>
          <w:b/>
          <w:bCs/>
          <w:iCs/>
        </w:rPr>
        <w:t>1.</w:t>
      </w:r>
      <w:r w:rsidRPr="00062AD5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 What is syncope and how might this patient have syncopized? </w:t>
      </w:r>
      <w:r w:rsidRPr="001C1498">
        <w:rPr>
          <w:b/>
          <w:bCs/>
          <w:iCs/>
        </w:rPr>
        <w:t xml:space="preserve">What </w:t>
      </w:r>
      <w:r>
        <w:rPr>
          <w:b/>
          <w:bCs/>
          <w:iCs/>
        </w:rPr>
        <w:t xml:space="preserve">else </w:t>
      </w:r>
      <w:r w:rsidRPr="001C1498">
        <w:rPr>
          <w:b/>
          <w:bCs/>
          <w:iCs/>
        </w:rPr>
        <w:t xml:space="preserve">is </w:t>
      </w:r>
      <w:r>
        <w:rPr>
          <w:b/>
          <w:bCs/>
          <w:iCs/>
        </w:rPr>
        <w:t xml:space="preserve">on </w:t>
      </w:r>
      <w:r w:rsidRPr="001C1498">
        <w:rPr>
          <w:b/>
          <w:bCs/>
          <w:iCs/>
        </w:rPr>
        <w:t>your differential</w:t>
      </w:r>
      <w:r>
        <w:rPr>
          <w:b/>
          <w:bCs/>
          <w:iCs/>
        </w:rPr>
        <w:t xml:space="preserve"> diagnosis</w:t>
      </w:r>
      <w:r w:rsidRPr="001C1498">
        <w:rPr>
          <w:b/>
          <w:bCs/>
          <w:iCs/>
        </w:rPr>
        <w:t xml:space="preserve">?  </w:t>
      </w:r>
    </w:p>
    <w:p w14:paraId="6A05A809" w14:textId="77777777" w:rsidR="00B5217E" w:rsidRDefault="00B5217E" w:rsidP="003970C8">
      <w:pPr>
        <w:pStyle w:val="Body"/>
        <w:spacing w:after="0"/>
        <w:rPr>
          <w:bCs/>
          <w:iCs/>
        </w:rPr>
      </w:pPr>
    </w:p>
    <w:p w14:paraId="41C8F396" w14:textId="4EEDB4D5" w:rsidR="002177EE" w:rsidRDefault="002177EE" w:rsidP="003970C8">
      <w:pPr>
        <w:pStyle w:val="Body"/>
        <w:spacing w:after="0"/>
        <w:rPr>
          <w:bCs/>
          <w:iCs/>
        </w:rPr>
      </w:pPr>
    </w:p>
    <w:p w14:paraId="103F26D3" w14:textId="77777777" w:rsidR="006F538D" w:rsidRDefault="006F538D" w:rsidP="003970C8">
      <w:pPr>
        <w:pStyle w:val="Body"/>
        <w:spacing w:after="0"/>
        <w:rPr>
          <w:bCs/>
          <w:iCs/>
        </w:rPr>
      </w:pPr>
    </w:p>
    <w:p w14:paraId="72A3D3EC" w14:textId="77777777" w:rsidR="002177EE" w:rsidRDefault="002177EE" w:rsidP="003970C8">
      <w:pPr>
        <w:pStyle w:val="Body"/>
        <w:spacing w:after="0"/>
        <w:rPr>
          <w:bCs/>
          <w:iCs/>
        </w:rPr>
      </w:pPr>
    </w:p>
    <w:p w14:paraId="0D0B940D" w14:textId="77777777" w:rsidR="002177EE" w:rsidRPr="00062AD5" w:rsidRDefault="002177EE" w:rsidP="003970C8">
      <w:pPr>
        <w:pStyle w:val="Body"/>
        <w:spacing w:after="0"/>
        <w:rPr>
          <w:bCs/>
          <w:iCs/>
        </w:rPr>
      </w:pPr>
    </w:p>
    <w:p w14:paraId="0BB0DF83" w14:textId="77777777" w:rsidR="004207E5" w:rsidRPr="00062AD5" w:rsidRDefault="004207E5" w:rsidP="004207E5">
      <w:pPr>
        <w:pStyle w:val="Body"/>
        <w:spacing w:after="0"/>
        <w:rPr>
          <w:b/>
          <w:bCs/>
          <w:iCs/>
        </w:rPr>
      </w:pPr>
      <w:r>
        <w:rPr>
          <w:b/>
          <w:bCs/>
          <w:iCs/>
        </w:rPr>
        <w:t>2</w:t>
      </w:r>
      <w:r w:rsidRPr="00062AD5">
        <w:rPr>
          <w:b/>
          <w:bCs/>
          <w:iCs/>
        </w:rPr>
        <w:t xml:space="preserve">. Why </w:t>
      </w:r>
      <w:r>
        <w:rPr>
          <w:b/>
          <w:bCs/>
          <w:iCs/>
        </w:rPr>
        <w:t>does</w:t>
      </w:r>
      <w:r w:rsidRPr="00062AD5">
        <w:rPr>
          <w:b/>
          <w:bCs/>
          <w:iCs/>
        </w:rPr>
        <w:t xml:space="preserve"> IVDU </w:t>
      </w:r>
      <w:r>
        <w:rPr>
          <w:b/>
          <w:bCs/>
          <w:iCs/>
        </w:rPr>
        <w:t>create</w:t>
      </w:r>
      <w:r w:rsidRPr="00062AD5">
        <w:rPr>
          <w:b/>
          <w:bCs/>
          <w:iCs/>
        </w:rPr>
        <w:t xml:space="preserve"> risk for endocarditis?  What other patients are at risk for endocarditis?</w:t>
      </w:r>
    </w:p>
    <w:p w14:paraId="0E27B00A" w14:textId="77777777" w:rsidR="004F6763" w:rsidRDefault="004F6763" w:rsidP="003970C8">
      <w:pPr>
        <w:pStyle w:val="Body"/>
        <w:spacing w:after="0"/>
        <w:rPr>
          <w:bCs/>
          <w:iCs/>
        </w:rPr>
      </w:pPr>
    </w:p>
    <w:p w14:paraId="60061E4C" w14:textId="77777777" w:rsidR="004207E5" w:rsidRDefault="004207E5" w:rsidP="003970C8">
      <w:pPr>
        <w:pStyle w:val="Body"/>
        <w:spacing w:after="0"/>
        <w:rPr>
          <w:bCs/>
          <w:iCs/>
        </w:rPr>
      </w:pPr>
    </w:p>
    <w:p w14:paraId="44EAFD9C" w14:textId="77777777" w:rsidR="004207E5" w:rsidRDefault="004207E5" w:rsidP="003970C8">
      <w:pPr>
        <w:pStyle w:val="Body"/>
        <w:spacing w:after="0"/>
        <w:rPr>
          <w:bCs/>
          <w:iCs/>
        </w:rPr>
      </w:pPr>
    </w:p>
    <w:p w14:paraId="1E24968F" w14:textId="77777777" w:rsidR="006F538D" w:rsidRDefault="006F538D" w:rsidP="003970C8">
      <w:pPr>
        <w:pStyle w:val="Body"/>
        <w:spacing w:after="0"/>
        <w:rPr>
          <w:b/>
          <w:bCs/>
          <w:iCs/>
        </w:rPr>
      </w:pPr>
    </w:p>
    <w:p w14:paraId="7D7E1F0F" w14:textId="61C11F27" w:rsidR="00274758" w:rsidRDefault="00274758" w:rsidP="003970C8">
      <w:pPr>
        <w:pStyle w:val="Body"/>
        <w:spacing w:after="0"/>
        <w:rPr>
          <w:b/>
          <w:bCs/>
          <w:iCs/>
        </w:rPr>
      </w:pPr>
      <w:r w:rsidRPr="00062AD5">
        <w:rPr>
          <w:b/>
          <w:bCs/>
          <w:iCs/>
        </w:rPr>
        <w:t>3. What else would you look for on physical exam?</w:t>
      </w:r>
    </w:p>
    <w:p w14:paraId="2A77B64F" w14:textId="77777777" w:rsidR="00B3258B" w:rsidRPr="00062AD5" w:rsidRDefault="00B3258B" w:rsidP="003970C8">
      <w:pPr>
        <w:pStyle w:val="Body"/>
        <w:spacing w:after="0"/>
        <w:rPr>
          <w:bCs/>
          <w:iCs/>
        </w:rPr>
      </w:pPr>
      <w:r w:rsidRPr="00062AD5">
        <w:rPr>
          <w:bCs/>
          <w:iCs/>
          <w:u w:val="single"/>
        </w:rPr>
        <w:lastRenderedPageBreak/>
        <w:t>HEENT</w:t>
      </w:r>
      <w:r w:rsidRPr="00062AD5">
        <w:rPr>
          <w:bCs/>
          <w:iCs/>
        </w:rPr>
        <w:t>:</w:t>
      </w:r>
    </w:p>
    <w:p w14:paraId="53128261" w14:textId="59510248" w:rsidR="002177EE" w:rsidRDefault="002177EE" w:rsidP="003970C8">
      <w:pPr>
        <w:pStyle w:val="Body"/>
        <w:spacing w:after="0"/>
        <w:rPr>
          <w:bCs/>
          <w:iCs/>
        </w:rPr>
      </w:pPr>
    </w:p>
    <w:p w14:paraId="62486C05" w14:textId="77777777" w:rsidR="002177EE" w:rsidRDefault="002177EE" w:rsidP="003970C8">
      <w:pPr>
        <w:pStyle w:val="Body"/>
        <w:spacing w:after="0"/>
        <w:rPr>
          <w:bCs/>
          <w:iCs/>
        </w:rPr>
      </w:pPr>
    </w:p>
    <w:p w14:paraId="7D07B963" w14:textId="77777777" w:rsidR="00274758" w:rsidRPr="00062AD5" w:rsidRDefault="00274758" w:rsidP="003970C8">
      <w:pPr>
        <w:pStyle w:val="Body"/>
        <w:spacing w:after="0"/>
        <w:rPr>
          <w:bCs/>
          <w:iCs/>
        </w:rPr>
      </w:pPr>
      <w:r w:rsidRPr="00062AD5">
        <w:rPr>
          <w:bCs/>
          <w:iCs/>
          <w:u w:val="single"/>
        </w:rPr>
        <w:t>CV</w:t>
      </w:r>
      <w:r w:rsidRPr="00062AD5">
        <w:rPr>
          <w:bCs/>
          <w:iCs/>
        </w:rPr>
        <w:t>:</w:t>
      </w:r>
    </w:p>
    <w:p w14:paraId="4101652C" w14:textId="77777777" w:rsidR="002177EE" w:rsidRDefault="002177EE" w:rsidP="003970C8">
      <w:pPr>
        <w:pStyle w:val="Body"/>
        <w:spacing w:after="0"/>
        <w:rPr>
          <w:bCs/>
          <w:iCs/>
        </w:rPr>
      </w:pPr>
    </w:p>
    <w:p w14:paraId="1299C43A" w14:textId="5D0AB63F" w:rsidR="002177EE" w:rsidRDefault="002177EE" w:rsidP="003970C8">
      <w:pPr>
        <w:pStyle w:val="Body"/>
        <w:spacing w:after="0"/>
        <w:rPr>
          <w:bCs/>
          <w:iCs/>
        </w:rPr>
      </w:pPr>
    </w:p>
    <w:p w14:paraId="64F3A20F" w14:textId="77777777" w:rsidR="00B3258B" w:rsidRPr="00062AD5" w:rsidRDefault="00B3258B" w:rsidP="003970C8">
      <w:pPr>
        <w:pStyle w:val="Body"/>
        <w:spacing w:after="0"/>
        <w:rPr>
          <w:bCs/>
          <w:iCs/>
        </w:rPr>
      </w:pPr>
      <w:r w:rsidRPr="00062AD5">
        <w:rPr>
          <w:bCs/>
          <w:iCs/>
          <w:u w:val="single"/>
        </w:rPr>
        <w:t>Abd/Renal</w:t>
      </w:r>
      <w:r w:rsidRPr="00062AD5">
        <w:rPr>
          <w:bCs/>
          <w:iCs/>
        </w:rPr>
        <w:t>:</w:t>
      </w:r>
    </w:p>
    <w:p w14:paraId="3461D779" w14:textId="54566DA3" w:rsidR="002177EE" w:rsidRDefault="002177EE" w:rsidP="003970C8">
      <w:pPr>
        <w:pStyle w:val="Body"/>
        <w:spacing w:after="0"/>
        <w:rPr>
          <w:bCs/>
          <w:iCs/>
        </w:rPr>
      </w:pPr>
    </w:p>
    <w:p w14:paraId="3CF2D8B6" w14:textId="77777777" w:rsidR="002177EE" w:rsidRDefault="002177EE" w:rsidP="003970C8">
      <w:pPr>
        <w:pStyle w:val="Body"/>
        <w:spacing w:after="0"/>
        <w:rPr>
          <w:bCs/>
          <w:iCs/>
        </w:rPr>
      </w:pPr>
    </w:p>
    <w:p w14:paraId="09618CCB" w14:textId="77777777" w:rsidR="00B3258B" w:rsidRPr="00062AD5" w:rsidRDefault="00B3258B" w:rsidP="003970C8">
      <w:pPr>
        <w:pStyle w:val="Body"/>
        <w:spacing w:after="0"/>
        <w:rPr>
          <w:bCs/>
          <w:iCs/>
        </w:rPr>
      </w:pPr>
      <w:r w:rsidRPr="00062AD5">
        <w:rPr>
          <w:bCs/>
          <w:iCs/>
          <w:u w:val="single"/>
        </w:rPr>
        <w:t>MSK</w:t>
      </w:r>
      <w:r w:rsidRPr="00062AD5">
        <w:rPr>
          <w:bCs/>
          <w:iCs/>
        </w:rPr>
        <w:t>:</w:t>
      </w:r>
    </w:p>
    <w:p w14:paraId="0FB78278" w14:textId="77777777" w:rsidR="002177EE" w:rsidRDefault="002177EE" w:rsidP="003970C8">
      <w:pPr>
        <w:pStyle w:val="Body"/>
        <w:spacing w:after="0"/>
        <w:rPr>
          <w:bCs/>
          <w:iCs/>
        </w:rPr>
      </w:pPr>
    </w:p>
    <w:p w14:paraId="0562CB0E" w14:textId="2A78B0D0" w:rsidR="002177EE" w:rsidRDefault="002177EE" w:rsidP="003970C8">
      <w:pPr>
        <w:pStyle w:val="Body"/>
        <w:spacing w:after="0"/>
        <w:rPr>
          <w:bCs/>
          <w:iCs/>
        </w:rPr>
      </w:pPr>
    </w:p>
    <w:p w14:paraId="1AB4D7E9" w14:textId="77777777" w:rsidR="00B3258B" w:rsidRPr="00062AD5" w:rsidRDefault="00B3258B" w:rsidP="003970C8">
      <w:pPr>
        <w:pStyle w:val="Body"/>
        <w:spacing w:after="0"/>
        <w:rPr>
          <w:bCs/>
          <w:iCs/>
        </w:rPr>
      </w:pPr>
      <w:r w:rsidRPr="00062AD5">
        <w:rPr>
          <w:bCs/>
          <w:iCs/>
          <w:u w:val="single"/>
        </w:rPr>
        <w:t>Skin</w:t>
      </w:r>
      <w:r w:rsidRPr="00062AD5">
        <w:rPr>
          <w:bCs/>
          <w:iCs/>
        </w:rPr>
        <w:t>:</w:t>
      </w:r>
    </w:p>
    <w:p w14:paraId="34CE0A41" w14:textId="77777777" w:rsidR="002177EE" w:rsidRDefault="002177EE" w:rsidP="003970C8">
      <w:pPr>
        <w:pStyle w:val="Body"/>
        <w:spacing w:after="0"/>
        <w:rPr>
          <w:bCs/>
          <w:iCs/>
        </w:rPr>
      </w:pPr>
    </w:p>
    <w:p w14:paraId="6D98A12B" w14:textId="42E4D84A" w:rsidR="002177EE" w:rsidRDefault="002177EE" w:rsidP="003970C8">
      <w:pPr>
        <w:pStyle w:val="Body"/>
        <w:spacing w:after="0"/>
        <w:rPr>
          <w:bCs/>
          <w:iCs/>
        </w:rPr>
      </w:pPr>
    </w:p>
    <w:p w14:paraId="13D8DAD7" w14:textId="77777777" w:rsidR="00B3258B" w:rsidRPr="00062AD5" w:rsidRDefault="00B3258B" w:rsidP="003970C8">
      <w:pPr>
        <w:pStyle w:val="Body"/>
        <w:spacing w:after="0"/>
        <w:rPr>
          <w:bCs/>
          <w:iCs/>
        </w:rPr>
      </w:pPr>
      <w:r w:rsidRPr="00062AD5">
        <w:rPr>
          <w:bCs/>
          <w:iCs/>
          <w:u w:val="single"/>
        </w:rPr>
        <w:t>Neuro</w:t>
      </w:r>
      <w:r w:rsidRPr="00062AD5">
        <w:rPr>
          <w:bCs/>
          <w:iCs/>
        </w:rPr>
        <w:t xml:space="preserve">: </w:t>
      </w:r>
    </w:p>
    <w:p w14:paraId="2946DB82" w14:textId="77777777" w:rsidR="002177EE" w:rsidRDefault="002177EE" w:rsidP="003970C8">
      <w:pPr>
        <w:pStyle w:val="Body"/>
        <w:spacing w:after="0"/>
        <w:rPr>
          <w:bCs/>
          <w:iCs/>
        </w:rPr>
      </w:pPr>
    </w:p>
    <w:p w14:paraId="110FFD37" w14:textId="77777777" w:rsidR="002177EE" w:rsidRDefault="002177EE" w:rsidP="003970C8">
      <w:pPr>
        <w:pStyle w:val="Body"/>
        <w:spacing w:after="0"/>
        <w:rPr>
          <w:bCs/>
          <w:iCs/>
        </w:rPr>
      </w:pPr>
    </w:p>
    <w:p w14:paraId="2A61F49C" w14:textId="786A1CBC" w:rsidR="00C77A14" w:rsidRPr="00062AD5" w:rsidRDefault="00CA0D55" w:rsidP="003970C8">
      <w:pPr>
        <w:pStyle w:val="Body"/>
        <w:spacing w:after="0"/>
        <w:rPr>
          <w:b/>
          <w:bCs/>
          <w:iCs/>
        </w:rPr>
      </w:pPr>
      <w:r w:rsidRPr="00062AD5">
        <w:rPr>
          <w:b/>
          <w:bCs/>
          <w:iCs/>
        </w:rPr>
        <w:t xml:space="preserve">4. </w:t>
      </w:r>
      <w:r w:rsidR="00F00BA1" w:rsidRPr="00062AD5">
        <w:rPr>
          <w:b/>
          <w:bCs/>
          <w:iCs/>
        </w:rPr>
        <w:t xml:space="preserve">You are admitting this patient to general medicine service.  What </w:t>
      </w:r>
      <w:r w:rsidR="00CE435A">
        <w:rPr>
          <w:b/>
          <w:bCs/>
          <w:iCs/>
        </w:rPr>
        <w:t>orders do you want to place?</w:t>
      </w:r>
      <w:r w:rsidR="00F00BA1" w:rsidRPr="00062AD5">
        <w:rPr>
          <w:b/>
          <w:bCs/>
          <w:iCs/>
        </w:rPr>
        <w:t xml:space="preserve">  </w:t>
      </w:r>
    </w:p>
    <w:p w14:paraId="6B699379" w14:textId="77777777" w:rsidR="00F00BA1" w:rsidRDefault="00F00BA1" w:rsidP="003970C8">
      <w:pPr>
        <w:pStyle w:val="Body"/>
        <w:spacing w:after="0"/>
        <w:rPr>
          <w:bCs/>
          <w:i/>
          <w:iCs/>
        </w:rPr>
      </w:pPr>
    </w:p>
    <w:p w14:paraId="3FE9F23F" w14:textId="77777777" w:rsidR="002F0647" w:rsidRPr="00062AD5" w:rsidRDefault="002F0647" w:rsidP="003970C8">
      <w:pPr>
        <w:pStyle w:val="Body"/>
        <w:spacing w:after="0"/>
        <w:rPr>
          <w:bCs/>
          <w:iCs/>
        </w:rPr>
      </w:pPr>
    </w:p>
    <w:p w14:paraId="1F72F646" w14:textId="77777777" w:rsidR="0015722A" w:rsidRDefault="0015722A" w:rsidP="003970C8">
      <w:pPr>
        <w:pStyle w:val="Body"/>
        <w:spacing w:after="0"/>
        <w:rPr>
          <w:b/>
          <w:bCs/>
          <w:iCs/>
        </w:rPr>
      </w:pPr>
    </w:p>
    <w:p w14:paraId="08CE6F91" w14:textId="77777777" w:rsidR="002177EE" w:rsidRDefault="002177EE" w:rsidP="003970C8">
      <w:pPr>
        <w:pStyle w:val="Body"/>
        <w:spacing w:after="0"/>
        <w:rPr>
          <w:b/>
          <w:bCs/>
          <w:iCs/>
        </w:rPr>
      </w:pPr>
    </w:p>
    <w:p w14:paraId="70DF9E56" w14:textId="09DA6D85" w:rsidR="002177EE" w:rsidRDefault="002177EE" w:rsidP="56CFFC1C">
      <w:pPr>
        <w:pStyle w:val="Body"/>
        <w:spacing w:after="0"/>
        <w:rPr>
          <w:b/>
          <w:bCs/>
        </w:rPr>
      </w:pPr>
    </w:p>
    <w:p w14:paraId="144A5D23" w14:textId="77777777" w:rsidR="002177EE" w:rsidRPr="00062AD5" w:rsidRDefault="002177EE" w:rsidP="003970C8">
      <w:pPr>
        <w:pStyle w:val="Body"/>
        <w:spacing w:after="0"/>
        <w:rPr>
          <w:b/>
          <w:bCs/>
          <w:iCs/>
        </w:rPr>
      </w:pPr>
    </w:p>
    <w:p w14:paraId="1BAF3ED8" w14:textId="77777777" w:rsidR="000A3C10" w:rsidRPr="00062AD5" w:rsidRDefault="000A3C10" w:rsidP="003970C8">
      <w:pPr>
        <w:pStyle w:val="Body"/>
        <w:spacing w:after="0"/>
        <w:rPr>
          <w:b/>
          <w:bCs/>
          <w:iCs/>
        </w:rPr>
      </w:pPr>
      <w:r w:rsidRPr="00062AD5">
        <w:rPr>
          <w:b/>
          <w:bCs/>
          <w:iCs/>
        </w:rPr>
        <w:t>5. What organisms are you concerned about?</w:t>
      </w:r>
      <w:r w:rsidR="004820A4" w:rsidRPr="00062AD5">
        <w:rPr>
          <w:b/>
          <w:bCs/>
          <w:iCs/>
        </w:rPr>
        <w:t xml:space="preserve">  What empiric antibiotics would </w:t>
      </w:r>
      <w:r w:rsidRPr="00062AD5">
        <w:rPr>
          <w:b/>
          <w:bCs/>
          <w:iCs/>
        </w:rPr>
        <w:t>you start?</w:t>
      </w:r>
    </w:p>
    <w:p w14:paraId="738610EB" w14:textId="77777777" w:rsidR="002177EE" w:rsidRDefault="002177EE" w:rsidP="003970C8">
      <w:pPr>
        <w:pStyle w:val="Body"/>
        <w:spacing w:after="0"/>
        <w:rPr>
          <w:bCs/>
          <w:iCs/>
          <w:u w:val="single"/>
        </w:rPr>
      </w:pPr>
    </w:p>
    <w:p w14:paraId="637805D2" w14:textId="77777777" w:rsidR="003970C8" w:rsidRDefault="003970C8" w:rsidP="003970C8">
      <w:pPr>
        <w:pStyle w:val="Body"/>
        <w:spacing w:after="0"/>
        <w:rPr>
          <w:bCs/>
          <w:iCs/>
          <w:u w:val="single"/>
        </w:rPr>
      </w:pPr>
    </w:p>
    <w:p w14:paraId="463F29E8" w14:textId="77777777" w:rsidR="002177EE" w:rsidRDefault="002177EE" w:rsidP="003970C8">
      <w:pPr>
        <w:pStyle w:val="Body"/>
        <w:spacing w:after="0"/>
        <w:rPr>
          <w:bCs/>
          <w:iCs/>
          <w:u w:val="single"/>
        </w:rPr>
      </w:pPr>
    </w:p>
    <w:p w14:paraId="72A8E19D" w14:textId="77777777" w:rsidR="00727F35" w:rsidRDefault="00727F35" w:rsidP="003970C8">
      <w:pPr>
        <w:pStyle w:val="Body"/>
        <w:spacing w:after="0"/>
        <w:rPr>
          <w:bCs/>
          <w:iCs/>
          <w:u w:val="single"/>
        </w:rPr>
      </w:pPr>
    </w:p>
    <w:p w14:paraId="36FCDF11" w14:textId="77777777" w:rsidR="00EA3040" w:rsidRPr="00062AD5" w:rsidRDefault="00EA3040" w:rsidP="003970C8">
      <w:pPr>
        <w:pStyle w:val="Body"/>
        <w:spacing w:after="0"/>
        <w:rPr>
          <w:bCs/>
          <w:i/>
          <w:iCs/>
        </w:rPr>
      </w:pPr>
    </w:p>
    <w:p w14:paraId="66204FF1" w14:textId="77777777" w:rsidR="002304ED" w:rsidRDefault="002304ED" w:rsidP="003970C8">
      <w:pPr>
        <w:spacing w:after="0"/>
      </w:pPr>
    </w:p>
    <w:p w14:paraId="2DBF0D7D" w14:textId="77777777" w:rsidR="00827C10" w:rsidRPr="00062AD5" w:rsidRDefault="00827C10" w:rsidP="003970C8">
      <w:pPr>
        <w:spacing w:after="0"/>
      </w:pPr>
    </w:p>
    <w:p w14:paraId="1C398832" w14:textId="58C498D6" w:rsidR="003970C8" w:rsidRPr="00062AD5" w:rsidRDefault="003970C8" w:rsidP="003970C8">
      <w:pPr>
        <w:spacing w:after="0"/>
        <w:rPr>
          <w:b/>
        </w:rPr>
      </w:pPr>
      <w:r w:rsidRPr="00062AD5">
        <w:rPr>
          <w:b/>
        </w:rPr>
        <w:t>Case Continued:</w:t>
      </w:r>
    </w:p>
    <w:p w14:paraId="02F2C34E" w14:textId="76BBBDFB" w:rsidR="00227D04" w:rsidRDefault="004207E5" w:rsidP="000545C7">
      <w:pPr>
        <w:spacing w:after="0"/>
      </w:pPr>
      <w:r>
        <w:t xml:space="preserve">CXR was normal.  UA was negative for blood, RBCs, WBCs, LE and nitrites.  </w:t>
      </w:r>
      <w:r w:rsidR="00092925">
        <w:t xml:space="preserve">ECG </w:t>
      </w:r>
      <w:r w:rsidR="086CCB5F">
        <w:t>shows NSR</w:t>
      </w:r>
      <w:r>
        <w:t xml:space="preserve">.  It’s the next morning and you are seeing your patient on pre-rounds.  In the quiet of the 7NW bed you now notice a </w:t>
      </w:r>
      <w:r w:rsidR="00CE435A">
        <w:t>new 2/6 blowing diastolic decrescendo murmur at the 3</w:t>
      </w:r>
      <w:r w:rsidR="00CE435A" w:rsidRPr="67229887">
        <w:rPr>
          <w:vertAlign w:val="superscript"/>
        </w:rPr>
        <w:t>rd</w:t>
      </w:r>
      <w:r w:rsidR="00CE435A">
        <w:t xml:space="preserve"> left ICS which increases with isometric hand grip</w:t>
      </w:r>
      <w:r>
        <w:t xml:space="preserve">.  The patient has just come back from TTE but the results aren’t </w:t>
      </w:r>
      <w:r w:rsidR="083DA041">
        <w:t>back yet.</w:t>
      </w:r>
    </w:p>
    <w:p w14:paraId="5B2DCDB8" w14:textId="38CC8DA5" w:rsidR="00092925" w:rsidRDefault="00092925" w:rsidP="00D15D79">
      <w:pPr>
        <w:spacing w:after="0"/>
      </w:pPr>
    </w:p>
    <w:p w14:paraId="4A77CB88" w14:textId="77777777" w:rsidR="00092925" w:rsidRDefault="00092925" w:rsidP="00227D04">
      <w:pPr>
        <w:spacing w:after="0"/>
      </w:pPr>
    </w:p>
    <w:p w14:paraId="2050D9B8" w14:textId="77777777" w:rsidR="006F538D" w:rsidRDefault="006F538D" w:rsidP="00227D04">
      <w:pPr>
        <w:spacing w:after="0"/>
        <w:rPr>
          <w:b/>
        </w:rPr>
      </w:pPr>
    </w:p>
    <w:p w14:paraId="6B325A6C" w14:textId="77777777" w:rsidR="006F538D" w:rsidRDefault="006F538D" w:rsidP="00227D04">
      <w:pPr>
        <w:spacing w:after="0"/>
        <w:rPr>
          <w:b/>
        </w:rPr>
      </w:pPr>
    </w:p>
    <w:p w14:paraId="4B33FC40" w14:textId="58BD249C" w:rsidR="00227D04" w:rsidRPr="00062AD5" w:rsidRDefault="004820A4" w:rsidP="00227D04">
      <w:pPr>
        <w:spacing w:after="0"/>
        <w:rPr>
          <w:b/>
        </w:rPr>
      </w:pPr>
      <w:r w:rsidRPr="00062AD5">
        <w:rPr>
          <w:b/>
        </w:rPr>
        <w:lastRenderedPageBreak/>
        <w:t xml:space="preserve">6.  How does this change your </w:t>
      </w:r>
      <w:r w:rsidR="00227D04" w:rsidRPr="00062AD5">
        <w:rPr>
          <w:b/>
        </w:rPr>
        <w:t>plan?</w:t>
      </w:r>
    </w:p>
    <w:p w14:paraId="296FEF7D" w14:textId="77777777" w:rsidR="00A154A1" w:rsidRDefault="00A154A1" w:rsidP="00B42AE1">
      <w:pPr>
        <w:pStyle w:val="Body"/>
        <w:spacing w:after="0"/>
        <w:rPr>
          <w:b/>
          <w:bCs/>
          <w:iCs/>
        </w:rPr>
      </w:pPr>
    </w:p>
    <w:p w14:paraId="7194DBDC" w14:textId="77777777" w:rsidR="002177EE" w:rsidRDefault="002177EE" w:rsidP="00B42AE1">
      <w:pPr>
        <w:pStyle w:val="Body"/>
        <w:spacing w:after="0"/>
        <w:rPr>
          <w:b/>
          <w:bCs/>
          <w:iCs/>
        </w:rPr>
      </w:pPr>
    </w:p>
    <w:p w14:paraId="1231BE67" w14:textId="48972A8F" w:rsidR="002177EE" w:rsidRDefault="002177EE" w:rsidP="56CFFC1C">
      <w:pPr>
        <w:pStyle w:val="Body"/>
        <w:spacing w:after="0"/>
        <w:rPr>
          <w:b/>
          <w:bCs/>
        </w:rPr>
      </w:pPr>
    </w:p>
    <w:p w14:paraId="30D7AA69" w14:textId="77777777" w:rsidR="002177EE" w:rsidRPr="00062AD5" w:rsidRDefault="002177EE" w:rsidP="00B42AE1">
      <w:pPr>
        <w:pStyle w:val="Body"/>
        <w:spacing w:after="0"/>
        <w:rPr>
          <w:b/>
          <w:bCs/>
          <w:iCs/>
        </w:rPr>
      </w:pPr>
    </w:p>
    <w:p w14:paraId="3F6F725E" w14:textId="77777777" w:rsidR="00B42AE1" w:rsidRPr="00062AD5" w:rsidRDefault="00B42AE1" w:rsidP="00B42AE1">
      <w:pPr>
        <w:pStyle w:val="Body"/>
        <w:spacing w:after="0"/>
        <w:rPr>
          <w:b/>
          <w:bCs/>
          <w:iCs/>
        </w:rPr>
      </w:pPr>
      <w:r w:rsidRPr="00062AD5">
        <w:rPr>
          <w:b/>
          <w:bCs/>
          <w:iCs/>
        </w:rPr>
        <w:t xml:space="preserve">7. What if instead of hearing a murmur, the TTE returns with findings of </w:t>
      </w:r>
      <w:r w:rsidR="00273F5A" w:rsidRPr="00062AD5">
        <w:rPr>
          <w:b/>
          <w:bCs/>
          <w:iCs/>
        </w:rPr>
        <w:t>a</w:t>
      </w:r>
      <w:r w:rsidR="005C3455" w:rsidRPr="00062AD5">
        <w:rPr>
          <w:b/>
          <w:bCs/>
          <w:iCs/>
        </w:rPr>
        <w:t>n 11</w:t>
      </w:r>
      <w:r w:rsidRPr="00062AD5">
        <w:rPr>
          <w:b/>
          <w:bCs/>
          <w:iCs/>
        </w:rPr>
        <w:t xml:space="preserve"> mm oscillating vegetation on the anterior leaflet of aortic valve?  What is your next step?</w:t>
      </w:r>
    </w:p>
    <w:p w14:paraId="14131C97" w14:textId="77777777" w:rsidR="00D15D79" w:rsidRDefault="00D15D79" w:rsidP="56CFFC1C">
      <w:pPr>
        <w:spacing w:after="0"/>
        <w:rPr>
          <w:b/>
          <w:bCs/>
        </w:rPr>
      </w:pPr>
    </w:p>
    <w:p w14:paraId="3EB513D7" w14:textId="43C6EA42" w:rsidR="00D15D79" w:rsidRDefault="00D15D79" w:rsidP="56CFFC1C">
      <w:pPr>
        <w:spacing w:after="0"/>
        <w:rPr>
          <w:b/>
          <w:bCs/>
        </w:rPr>
      </w:pPr>
    </w:p>
    <w:p w14:paraId="4115C6EF" w14:textId="77777777" w:rsidR="00D15D79" w:rsidRDefault="00D15D79" w:rsidP="56CFFC1C">
      <w:pPr>
        <w:spacing w:after="0"/>
        <w:rPr>
          <w:b/>
          <w:bCs/>
        </w:rPr>
      </w:pPr>
    </w:p>
    <w:p w14:paraId="2CF6A1AD" w14:textId="0CA53381" w:rsidR="000545C7" w:rsidRDefault="000545C7" w:rsidP="56CFFC1C">
      <w:pPr>
        <w:spacing w:after="0"/>
        <w:rPr>
          <w:b/>
          <w:bCs/>
        </w:rPr>
      </w:pPr>
    </w:p>
    <w:p w14:paraId="409E02B7" w14:textId="3C3C8953" w:rsidR="00EA3040" w:rsidRDefault="00644FD0" w:rsidP="00D15D79">
      <w:pPr>
        <w:spacing w:after="0"/>
        <w:rPr>
          <w:b/>
          <w:bCs/>
        </w:rPr>
      </w:pPr>
      <w:r>
        <w:rPr>
          <w:noProof/>
        </w:rPr>
        <w:drawing>
          <wp:inline distT="0" distB="0" distL="0" distR="0" wp14:anchorId="22B0C548" wp14:editId="728D2F86">
            <wp:extent cx="6324600" cy="3629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779B9" w14:textId="79CB3919" w:rsidR="00EA3040" w:rsidRDefault="00EA3040" w:rsidP="56CFFC1C">
      <w:pPr>
        <w:spacing w:after="0"/>
        <w:rPr>
          <w:b/>
          <w:bCs/>
        </w:rPr>
      </w:pPr>
      <w:r>
        <w:rPr>
          <w:b/>
          <w:bCs/>
        </w:rPr>
        <w:t>Break here for questions for the expert.</w:t>
      </w:r>
    </w:p>
    <w:p w14:paraId="7AE7CB95" w14:textId="2DEE7A8D" w:rsidR="00727F35" w:rsidRDefault="00727F35" w:rsidP="007C7FBF">
      <w:pPr>
        <w:spacing w:after="0"/>
        <w:rPr>
          <w:b/>
        </w:rPr>
      </w:pPr>
    </w:p>
    <w:p w14:paraId="30E03BAE" w14:textId="255E4E7D" w:rsidR="00CE435A" w:rsidRDefault="00CE435A" w:rsidP="007C7FBF">
      <w:pPr>
        <w:spacing w:after="0"/>
        <w:rPr>
          <w:b/>
        </w:rPr>
      </w:pPr>
    </w:p>
    <w:p w14:paraId="2DF5E7CE" w14:textId="77777777" w:rsidR="00CE435A" w:rsidRDefault="00CE435A" w:rsidP="007C7FBF">
      <w:pPr>
        <w:spacing w:after="0"/>
        <w:rPr>
          <w:b/>
        </w:rPr>
      </w:pPr>
    </w:p>
    <w:p w14:paraId="25598244" w14:textId="77777777" w:rsidR="006F538D" w:rsidRDefault="006F538D" w:rsidP="007C7FBF">
      <w:pPr>
        <w:spacing w:after="0"/>
        <w:rPr>
          <w:b/>
        </w:rPr>
      </w:pPr>
    </w:p>
    <w:p w14:paraId="0823385E" w14:textId="5DA32830" w:rsidR="005C3455" w:rsidRPr="00062AD5" w:rsidRDefault="005C3455" w:rsidP="007C7FBF">
      <w:pPr>
        <w:spacing w:after="0"/>
        <w:rPr>
          <w:b/>
        </w:rPr>
      </w:pPr>
      <w:r w:rsidRPr="00062AD5">
        <w:rPr>
          <w:b/>
        </w:rPr>
        <w:t>Case Continued:</w:t>
      </w:r>
    </w:p>
    <w:p w14:paraId="5023141B" w14:textId="3C9B3CDA" w:rsidR="009B2C44" w:rsidRDefault="005C3455" w:rsidP="007C7FBF">
      <w:pPr>
        <w:spacing w:after="0"/>
      </w:pPr>
      <w:r>
        <w:t>Patient undergoes TEE for the new murmur.  TEE shows</w:t>
      </w:r>
      <w:r w:rsidR="00273F5A">
        <w:t xml:space="preserve"> a 7</w:t>
      </w:r>
      <w:r w:rsidR="007C7FBF">
        <w:t xml:space="preserve"> mm vegetation</w:t>
      </w:r>
      <w:r>
        <w:t xml:space="preserve"> on the aortic valve</w:t>
      </w:r>
      <w:r w:rsidR="00F26669">
        <w:t xml:space="preserve"> with moderate aortic regurgitation and EF of 55%</w:t>
      </w:r>
      <w:r w:rsidR="00273F5A">
        <w:t>.</w:t>
      </w:r>
      <w:r w:rsidR="009B2C44">
        <w:t xml:space="preserve">  Then o</w:t>
      </w:r>
      <w:r w:rsidR="0092734B">
        <w:t xml:space="preserve">n hospital day </w:t>
      </w:r>
      <w:r w:rsidR="197229E8">
        <w:t>4</w:t>
      </w:r>
      <w:r w:rsidR="00273F5A">
        <w:t xml:space="preserve"> the team gets called </w:t>
      </w:r>
      <w:r w:rsidR="0092734B">
        <w:t xml:space="preserve">for </w:t>
      </w:r>
      <w:r w:rsidR="009A44A7">
        <w:t>bradycardia</w:t>
      </w:r>
      <w:r w:rsidR="00273F5A">
        <w:t xml:space="preserve"> on tele.  </w:t>
      </w:r>
    </w:p>
    <w:p w14:paraId="2A7A5CF3" w14:textId="77777777" w:rsidR="006F538D" w:rsidRPr="006F538D" w:rsidRDefault="006F538D" w:rsidP="007C7FBF">
      <w:pPr>
        <w:spacing w:after="0"/>
      </w:pPr>
    </w:p>
    <w:p w14:paraId="0B369F16" w14:textId="05C3D4B4" w:rsidR="009A44A7" w:rsidRDefault="0092734B" w:rsidP="007C7FBF">
      <w:pPr>
        <w:spacing w:after="0"/>
        <w:rPr>
          <w:b/>
        </w:rPr>
      </w:pPr>
      <w:r w:rsidRPr="00062AD5">
        <w:rPr>
          <w:b/>
        </w:rPr>
        <w:t>8.  What are</w:t>
      </w:r>
      <w:r w:rsidR="003F0A8B" w:rsidRPr="00062AD5">
        <w:rPr>
          <w:b/>
        </w:rPr>
        <w:t xml:space="preserve"> your next step</w:t>
      </w:r>
      <w:r w:rsidRPr="00062AD5">
        <w:rPr>
          <w:b/>
        </w:rPr>
        <w:t>s</w:t>
      </w:r>
      <w:r w:rsidR="009A44A7" w:rsidRPr="00062AD5">
        <w:rPr>
          <w:b/>
        </w:rPr>
        <w:t>?</w:t>
      </w:r>
    </w:p>
    <w:p w14:paraId="44C3AD6B" w14:textId="21E0CC45" w:rsidR="006F538D" w:rsidRDefault="006F538D" w:rsidP="007C7FBF">
      <w:pPr>
        <w:spacing w:after="0"/>
        <w:rPr>
          <w:b/>
        </w:rPr>
      </w:pPr>
    </w:p>
    <w:p w14:paraId="48094A35" w14:textId="77777777" w:rsidR="006F538D" w:rsidRPr="00062AD5" w:rsidRDefault="006F538D" w:rsidP="007C7FBF">
      <w:pPr>
        <w:spacing w:after="0"/>
        <w:rPr>
          <w:b/>
        </w:rPr>
      </w:pPr>
    </w:p>
    <w:p w14:paraId="1F3B1409" w14:textId="77777777" w:rsidR="00A962DE" w:rsidRDefault="00A962DE" w:rsidP="007C7FBF">
      <w:pPr>
        <w:spacing w:after="0"/>
      </w:pPr>
    </w:p>
    <w:p w14:paraId="7B1A58B4" w14:textId="2770B69C" w:rsidR="00747B02" w:rsidRDefault="00747B02" w:rsidP="007C7FBF">
      <w:pPr>
        <w:spacing w:after="0"/>
        <w:rPr>
          <w:b/>
        </w:rPr>
      </w:pPr>
      <w:r w:rsidRPr="00062AD5">
        <w:rPr>
          <w:b/>
        </w:rPr>
        <w:lastRenderedPageBreak/>
        <w:t xml:space="preserve">9. </w:t>
      </w:r>
      <w:r w:rsidR="00092179" w:rsidRPr="00062AD5">
        <w:rPr>
          <w:b/>
        </w:rPr>
        <w:t xml:space="preserve">Should this person have surgery? </w:t>
      </w:r>
      <w:r w:rsidRPr="00062AD5">
        <w:rPr>
          <w:b/>
        </w:rPr>
        <w:t xml:space="preserve">What </w:t>
      </w:r>
      <w:r w:rsidR="00092179" w:rsidRPr="00062AD5">
        <w:rPr>
          <w:b/>
        </w:rPr>
        <w:t>are the indications for early surgery</w:t>
      </w:r>
      <w:r w:rsidR="00DD2042" w:rsidRPr="00062AD5">
        <w:rPr>
          <w:b/>
        </w:rPr>
        <w:t xml:space="preserve"> in left-sided endocarditis</w:t>
      </w:r>
      <w:r w:rsidR="00092179" w:rsidRPr="00062AD5">
        <w:rPr>
          <w:b/>
        </w:rPr>
        <w:t xml:space="preserve">?  </w:t>
      </w:r>
    </w:p>
    <w:p w14:paraId="2A1A52F8" w14:textId="77777777" w:rsidR="006F538D" w:rsidRPr="00062AD5" w:rsidRDefault="006F538D" w:rsidP="007C7FBF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7226"/>
      </w:tblGrid>
      <w:tr w:rsidR="00BC2655" w14:paraId="10EF5530" w14:textId="77777777" w:rsidTr="00BC2655">
        <w:tc>
          <w:tcPr>
            <w:tcW w:w="10070" w:type="dxa"/>
            <w:gridSpan w:val="2"/>
          </w:tcPr>
          <w:p w14:paraId="5A19200C" w14:textId="77777777" w:rsidR="00BC2655" w:rsidRPr="00C03A21" w:rsidRDefault="00BC2655" w:rsidP="00E47912">
            <w:pPr>
              <w:jc w:val="center"/>
              <w:rPr>
                <w:b/>
              </w:rPr>
            </w:pPr>
            <w:r w:rsidRPr="00C03A21">
              <w:rPr>
                <w:b/>
              </w:rPr>
              <w:t>Indications for Early Surgical Intervention</w:t>
            </w:r>
          </w:p>
        </w:tc>
      </w:tr>
      <w:tr w:rsidR="00BC2655" w14:paraId="7BFBAB94" w14:textId="77777777" w:rsidTr="00BC2655">
        <w:tc>
          <w:tcPr>
            <w:tcW w:w="2844" w:type="dxa"/>
          </w:tcPr>
          <w:p w14:paraId="48A3CA55" w14:textId="77777777" w:rsidR="00BC2655" w:rsidRDefault="00BC2655" w:rsidP="00E47912">
            <w:r>
              <w:t>Cardiac</w:t>
            </w:r>
          </w:p>
        </w:tc>
        <w:tc>
          <w:tcPr>
            <w:tcW w:w="7226" w:type="dxa"/>
          </w:tcPr>
          <w:p w14:paraId="4E960C0D" w14:textId="77777777" w:rsidR="00BC2655" w:rsidRDefault="00BC2655" w:rsidP="00BC2655">
            <w:pPr>
              <w:contextualSpacing/>
            </w:pPr>
            <w:r>
              <w:t>1.</w:t>
            </w:r>
          </w:p>
          <w:p w14:paraId="6D591B26" w14:textId="77777777" w:rsidR="00BC2655" w:rsidRDefault="00BC2655" w:rsidP="00BC2655">
            <w:pPr>
              <w:contextualSpacing/>
            </w:pPr>
            <w:r>
              <w:t>2.</w:t>
            </w:r>
          </w:p>
          <w:p w14:paraId="0E736523" w14:textId="77777777" w:rsidR="00BC2655" w:rsidRDefault="00BC2655" w:rsidP="00BC2655">
            <w:pPr>
              <w:contextualSpacing/>
            </w:pPr>
            <w:r>
              <w:t>3.</w:t>
            </w:r>
          </w:p>
        </w:tc>
      </w:tr>
      <w:tr w:rsidR="00BC2655" w14:paraId="02889762" w14:textId="77777777" w:rsidTr="00BC2655">
        <w:tc>
          <w:tcPr>
            <w:tcW w:w="2844" w:type="dxa"/>
          </w:tcPr>
          <w:p w14:paraId="00F251FE" w14:textId="77777777" w:rsidR="00BC2655" w:rsidRDefault="00BC2655" w:rsidP="00E47912">
            <w:r>
              <w:t>Infectious</w:t>
            </w:r>
          </w:p>
        </w:tc>
        <w:tc>
          <w:tcPr>
            <w:tcW w:w="7226" w:type="dxa"/>
          </w:tcPr>
          <w:p w14:paraId="6B402F40" w14:textId="77777777" w:rsidR="00BC2655" w:rsidRDefault="00BC2655" w:rsidP="00BC2655">
            <w:pPr>
              <w:contextualSpacing/>
            </w:pPr>
            <w:r>
              <w:t>1.</w:t>
            </w:r>
          </w:p>
          <w:p w14:paraId="18618A03" w14:textId="77777777" w:rsidR="00BC2655" w:rsidRDefault="00BC2655" w:rsidP="00BC2655">
            <w:pPr>
              <w:contextualSpacing/>
            </w:pPr>
            <w:r>
              <w:t>2.</w:t>
            </w:r>
          </w:p>
          <w:p w14:paraId="70F85959" w14:textId="77777777" w:rsidR="00BC2655" w:rsidRDefault="00BC2655" w:rsidP="00BC2655">
            <w:pPr>
              <w:contextualSpacing/>
            </w:pPr>
            <w:r>
              <w:t xml:space="preserve">3. </w:t>
            </w:r>
          </w:p>
        </w:tc>
      </w:tr>
      <w:tr w:rsidR="00BC2655" w14:paraId="4F9542FD" w14:textId="77777777" w:rsidTr="00BC2655">
        <w:tc>
          <w:tcPr>
            <w:tcW w:w="2844" w:type="dxa"/>
          </w:tcPr>
          <w:p w14:paraId="4D243B61" w14:textId="77777777" w:rsidR="00BC2655" w:rsidRDefault="00BC2655" w:rsidP="00E47912">
            <w:r>
              <w:t>Vegetation size/Embolic complications</w:t>
            </w:r>
          </w:p>
        </w:tc>
        <w:tc>
          <w:tcPr>
            <w:tcW w:w="7226" w:type="dxa"/>
          </w:tcPr>
          <w:p w14:paraId="0206DB9A" w14:textId="77777777" w:rsidR="00BC2655" w:rsidRDefault="00BC2655" w:rsidP="00BC2655">
            <w:pPr>
              <w:contextualSpacing/>
            </w:pPr>
            <w:r>
              <w:t>1.</w:t>
            </w:r>
          </w:p>
          <w:p w14:paraId="5C234184" w14:textId="77777777" w:rsidR="00BC2655" w:rsidRDefault="00BC2655" w:rsidP="00BC2655">
            <w:pPr>
              <w:contextualSpacing/>
            </w:pPr>
            <w:r>
              <w:t xml:space="preserve">2. </w:t>
            </w:r>
          </w:p>
        </w:tc>
      </w:tr>
    </w:tbl>
    <w:p w14:paraId="31126E5D" w14:textId="77777777" w:rsidR="006F61A8" w:rsidRPr="00062AD5" w:rsidRDefault="006F61A8" w:rsidP="007C7FBF">
      <w:pPr>
        <w:spacing w:after="0"/>
      </w:pPr>
    </w:p>
    <w:p w14:paraId="5FA10682" w14:textId="77777777" w:rsidR="00DD2042" w:rsidRPr="00062AD5" w:rsidRDefault="00DD2042" w:rsidP="007C7FBF">
      <w:pPr>
        <w:spacing w:after="0"/>
        <w:rPr>
          <w:b/>
        </w:rPr>
      </w:pPr>
      <w:r w:rsidRPr="00062AD5">
        <w:rPr>
          <w:b/>
        </w:rPr>
        <w:t>10. What if instead the patient had right-sided endocarditis with septic pulmonary emboli?  Is surgery indicated</w:t>
      </w:r>
      <w:r w:rsidR="003A54F3" w:rsidRPr="00062AD5">
        <w:rPr>
          <w:b/>
        </w:rPr>
        <w:t>, why or why not?</w:t>
      </w:r>
    </w:p>
    <w:p w14:paraId="2DE403A5" w14:textId="77777777" w:rsidR="00D02FE2" w:rsidRDefault="00D02FE2" w:rsidP="00D02FE2">
      <w:pPr>
        <w:spacing w:after="0"/>
        <w:rPr>
          <w:u w:val="single"/>
        </w:rPr>
      </w:pPr>
    </w:p>
    <w:p w14:paraId="62431CDC" w14:textId="77777777" w:rsidR="002177EE" w:rsidRDefault="002177EE" w:rsidP="00D02FE2">
      <w:pPr>
        <w:spacing w:after="0"/>
        <w:rPr>
          <w:u w:val="single"/>
        </w:rPr>
      </w:pPr>
    </w:p>
    <w:p w14:paraId="49E398E2" w14:textId="77777777" w:rsidR="002177EE" w:rsidRDefault="002177EE" w:rsidP="00D02FE2">
      <w:pPr>
        <w:spacing w:after="0"/>
        <w:rPr>
          <w:u w:val="single"/>
        </w:rPr>
      </w:pPr>
    </w:p>
    <w:p w14:paraId="16287F21" w14:textId="77777777" w:rsidR="002177EE" w:rsidRDefault="002177EE" w:rsidP="00D02FE2">
      <w:pPr>
        <w:spacing w:after="0"/>
        <w:rPr>
          <w:u w:val="single"/>
        </w:rPr>
      </w:pPr>
    </w:p>
    <w:p w14:paraId="34B3F2EB" w14:textId="0E0B0D38" w:rsidR="002177EE" w:rsidRPr="00062AD5" w:rsidRDefault="002177EE" w:rsidP="56CFFC1C">
      <w:pPr>
        <w:spacing w:after="0"/>
        <w:rPr>
          <w:u w:val="single"/>
        </w:rPr>
      </w:pPr>
    </w:p>
    <w:p w14:paraId="54E0E8BB" w14:textId="2A3FF940" w:rsidR="00824CA8" w:rsidRPr="00062AD5" w:rsidRDefault="00824CA8" w:rsidP="67229887">
      <w:pPr>
        <w:pStyle w:val="Body"/>
        <w:spacing w:after="0"/>
        <w:rPr>
          <w:b/>
          <w:bCs/>
        </w:rPr>
      </w:pPr>
      <w:r w:rsidRPr="67229887">
        <w:rPr>
          <w:b/>
          <w:bCs/>
        </w:rPr>
        <w:t xml:space="preserve">11.  What if instead the patient already had a prior history of endocarditis with a mechanical AVR on </w:t>
      </w:r>
      <w:r w:rsidR="2EC0CB7C" w:rsidRPr="67229887">
        <w:rPr>
          <w:b/>
          <w:bCs/>
        </w:rPr>
        <w:t>warfarin</w:t>
      </w:r>
      <w:r w:rsidRPr="67229887">
        <w:rPr>
          <w:b/>
          <w:bCs/>
        </w:rPr>
        <w:t xml:space="preserve"> and he presented with recurrent endocarditis with the emboli to brain as above?  What would you do with his anticoagulation?</w:t>
      </w:r>
    </w:p>
    <w:p w14:paraId="7D34F5C7" w14:textId="77777777" w:rsidR="00824CA8" w:rsidRDefault="00824CA8" w:rsidP="00D02FE2">
      <w:pPr>
        <w:spacing w:after="0"/>
      </w:pPr>
    </w:p>
    <w:p w14:paraId="0B4020A7" w14:textId="77777777" w:rsidR="002177EE" w:rsidRDefault="002177EE" w:rsidP="00D02FE2">
      <w:pPr>
        <w:spacing w:after="0"/>
      </w:pPr>
    </w:p>
    <w:p w14:paraId="03EFCA41" w14:textId="5DB9A162" w:rsidR="002177EE" w:rsidRDefault="002177EE" w:rsidP="56CFFC1C">
      <w:pPr>
        <w:spacing w:after="0"/>
      </w:pPr>
    </w:p>
    <w:p w14:paraId="5F96A722" w14:textId="77777777" w:rsidR="002F0647" w:rsidRPr="00062AD5" w:rsidRDefault="002F0647" w:rsidP="00D02FE2">
      <w:pPr>
        <w:spacing w:after="0"/>
      </w:pPr>
    </w:p>
    <w:p w14:paraId="1E7000D4" w14:textId="297A0DF0" w:rsidR="56CFFC1C" w:rsidRDefault="56CFFC1C" w:rsidP="56CFFC1C">
      <w:pPr>
        <w:spacing w:after="0"/>
      </w:pPr>
    </w:p>
    <w:p w14:paraId="18DE23A3" w14:textId="77777777" w:rsidR="00CE435A" w:rsidRDefault="00CE435A" w:rsidP="56CFFC1C">
      <w:pPr>
        <w:spacing w:after="0"/>
      </w:pPr>
    </w:p>
    <w:p w14:paraId="5894DF49" w14:textId="77777777" w:rsidR="00D02FE2" w:rsidRPr="00062AD5" w:rsidRDefault="00D02FE2" w:rsidP="00D02FE2">
      <w:pPr>
        <w:spacing w:after="0"/>
        <w:rPr>
          <w:b/>
        </w:rPr>
      </w:pPr>
      <w:r w:rsidRPr="00062AD5">
        <w:rPr>
          <w:b/>
        </w:rPr>
        <w:t>Case Continued:</w:t>
      </w:r>
    </w:p>
    <w:p w14:paraId="0DB1CD3E" w14:textId="77777777" w:rsidR="002F0647" w:rsidRDefault="00D02FE2" w:rsidP="00D02FE2">
      <w:pPr>
        <w:spacing w:after="0"/>
      </w:pPr>
      <w:r w:rsidRPr="00062AD5">
        <w:t>Patient undergoes AVR</w:t>
      </w:r>
      <w:r w:rsidR="00DF39AD" w:rsidRPr="00062AD5">
        <w:t xml:space="preserve"> and does well post-operatively.  </w:t>
      </w:r>
      <w:r w:rsidR="006667FF" w:rsidRPr="00062AD5">
        <w:t>His cultures grew MS</w:t>
      </w:r>
      <w:r w:rsidR="00932AAD" w:rsidRPr="00062AD5">
        <w:t xml:space="preserve">SA. </w:t>
      </w:r>
    </w:p>
    <w:p w14:paraId="5B95CD12" w14:textId="77777777" w:rsidR="002F0647" w:rsidRDefault="002F0647" w:rsidP="00D02FE2">
      <w:pPr>
        <w:spacing w:after="0"/>
      </w:pPr>
    </w:p>
    <w:p w14:paraId="34A646A5" w14:textId="00281E1D" w:rsidR="67229887" w:rsidRDefault="67229887" w:rsidP="67229887">
      <w:pPr>
        <w:pStyle w:val="Body"/>
        <w:spacing w:after="0"/>
        <w:rPr>
          <w:b/>
          <w:bCs/>
        </w:rPr>
      </w:pPr>
    </w:p>
    <w:p w14:paraId="6F48DA1B" w14:textId="77777777" w:rsidR="002F0647" w:rsidRPr="00D13EBB" w:rsidRDefault="002F0647" w:rsidP="002F0647">
      <w:pPr>
        <w:pStyle w:val="Body"/>
        <w:spacing w:after="0"/>
        <w:rPr>
          <w:b/>
          <w:bCs/>
          <w:iCs/>
        </w:rPr>
      </w:pPr>
      <w:r w:rsidRPr="00236DDA">
        <w:rPr>
          <w:b/>
        </w:rPr>
        <w:t>12.</w:t>
      </w:r>
      <w:r w:rsidRPr="00236DDA">
        <w:rPr>
          <w:b/>
          <w:bCs/>
          <w:iCs/>
        </w:rPr>
        <w:t xml:space="preserve"> If</w:t>
      </w:r>
      <w:r>
        <w:rPr>
          <w:b/>
          <w:bCs/>
          <w:iCs/>
        </w:rPr>
        <w:t xml:space="preserve"> the patient had prosthetic valve would this change your antibiotics?</w:t>
      </w:r>
    </w:p>
    <w:p w14:paraId="5220BBB2" w14:textId="77777777" w:rsidR="002F0647" w:rsidRDefault="002F0647" w:rsidP="00D02FE2">
      <w:pPr>
        <w:spacing w:after="0"/>
      </w:pPr>
    </w:p>
    <w:p w14:paraId="6D9C8D39" w14:textId="2B7649AE" w:rsidR="002F0647" w:rsidRDefault="002F0647" w:rsidP="56CFFC1C">
      <w:pPr>
        <w:spacing w:after="0"/>
      </w:pPr>
    </w:p>
    <w:p w14:paraId="1CBD324C" w14:textId="77777777" w:rsidR="000545C7" w:rsidRDefault="000545C7" w:rsidP="56CFFC1C">
      <w:pPr>
        <w:spacing w:after="0"/>
      </w:pPr>
    </w:p>
    <w:p w14:paraId="675E05EE" w14:textId="77777777" w:rsidR="002F0647" w:rsidRDefault="002F0647" w:rsidP="00D02FE2">
      <w:pPr>
        <w:spacing w:after="0"/>
      </w:pPr>
    </w:p>
    <w:p w14:paraId="6929F287" w14:textId="77777777" w:rsidR="004207E5" w:rsidRPr="00062AD5" w:rsidRDefault="004207E5" w:rsidP="004207E5">
      <w:pPr>
        <w:pStyle w:val="Body"/>
        <w:spacing w:after="0"/>
      </w:pPr>
      <w:r w:rsidRPr="00062AD5">
        <w:t xml:space="preserve">He completes a 6 week course of nafcillin.  He is then seen in the </w:t>
      </w:r>
      <w:r>
        <w:t xml:space="preserve">IM </w:t>
      </w:r>
      <w:r w:rsidRPr="00062AD5">
        <w:t>Hoxworth clinic to establish care with a new PCP.  He hasn’t seen a dentist in years so you refer him to a dentist who recommends deep cleaning and tooth extraction.</w:t>
      </w:r>
    </w:p>
    <w:p w14:paraId="2FC17F8B" w14:textId="77777777" w:rsidR="002F0647" w:rsidRDefault="002F0647" w:rsidP="00D02FE2">
      <w:pPr>
        <w:spacing w:after="0"/>
      </w:pPr>
    </w:p>
    <w:p w14:paraId="3BE33762" w14:textId="1D09D598" w:rsidR="00932AAD" w:rsidRPr="00062AD5" w:rsidRDefault="00824CA8" w:rsidP="00D02FE2">
      <w:pPr>
        <w:spacing w:after="0"/>
        <w:rPr>
          <w:b/>
        </w:rPr>
      </w:pPr>
      <w:r w:rsidRPr="00062AD5">
        <w:rPr>
          <w:b/>
        </w:rPr>
        <w:lastRenderedPageBreak/>
        <w:t>12</w:t>
      </w:r>
      <w:r w:rsidR="00932AAD" w:rsidRPr="00062AD5">
        <w:rPr>
          <w:b/>
        </w:rPr>
        <w:t>. Does the patient need antibiotic prophylaxis?  If so, why and with what antibiotic?  What are the indications for antibiotic prophylaxis prior to dental procedures?</w:t>
      </w:r>
      <w:r w:rsidR="00BC2655">
        <w:rPr>
          <w:b/>
        </w:rPr>
        <w:t xml:space="preserve"> </w:t>
      </w:r>
    </w:p>
    <w:p w14:paraId="0A4F7224" w14:textId="77777777" w:rsidR="002177EE" w:rsidRDefault="002177EE" w:rsidP="00E941A7">
      <w:pPr>
        <w:pStyle w:val="Body"/>
        <w:spacing w:after="0"/>
        <w:rPr>
          <w:b/>
          <w:bCs/>
          <w:iCs/>
        </w:rPr>
      </w:pPr>
    </w:p>
    <w:p w14:paraId="1C95C096" w14:textId="77777777" w:rsidR="00D15D79" w:rsidRDefault="00D15D79" w:rsidP="00644FD0">
      <w:pPr>
        <w:spacing w:after="0"/>
        <w:rPr>
          <w:b/>
          <w:bCs/>
        </w:rPr>
      </w:pPr>
    </w:p>
    <w:p w14:paraId="7392EB61" w14:textId="77777777" w:rsidR="00D15D79" w:rsidRDefault="00D15D79" w:rsidP="00644FD0">
      <w:pPr>
        <w:spacing w:after="0"/>
        <w:rPr>
          <w:b/>
          <w:bCs/>
        </w:rPr>
      </w:pPr>
    </w:p>
    <w:p w14:paraId="1314E268" w14:textId="77777777" w:rsidR="00D15D79" w:rsidRDefault="00D15D79" w:rsidP="00644FD0">
      <w:pPr>
        <w:spacing w:after="0"/>
        <w:rPr>
          <w:b/>
          <w:bCs/>
        </w:rPr>
      </w:pPr>
    </w:p>
    <w:p w14:paraId="48242C38" w14:textId="7517273A" w:rsidR="00BC2655" w:rsidRDefault="00CE435A" w:rsidP="00644FD0">
      <w:pPr>
        <w:spacing w:after="0"/>
        <w:rPr>
          <w:b/>
          <w:bCs/>
        </w:rPr>
      </w:pPr>
      <w:r>
        <w:rPr>
          <w:b/>
          <w:bCs/>
        </w:rPr>
        <w:t xml:space="preserve">13. </w:t>
      </w:r>
      <w:r w:rsidR="00BC2655">
        <w:rPr>
          <w:b/>
          <w:bCs/>
        </w:rPr>
        <w:t>What is your differential diagnosis for culture negative endocarditis?</w:t>
      </w:r>
    </w:p>
    <w:p w14:paraId="1448CFB0" w14:textId="485450E7" w:rsidR="00CE435A" w:rsidRDefault="00CE435A" w:rsidP="00644FD0">
      <w:pPr>
        <w:spacing w:after="0"/>
        <w:rPr>
          <w:b/>
          <w:bCs/>
        </w:rPr>
      </w:pPr>
    </w:p>
    <w:p w14:paraId="65B09012" w14:textId="419400CB" w:rsidR="00CE435A" w:rsidRDefault="00CE435A" w:rsidP="00644FD0">
      <w:pPr>
        <w:spacing w:after="0"/>
        <w:rPr>
          <w:b/>
          <w:bCs/>
        </w:rPr>
      </w:pPr>
    </w:p>
    <w:p w14:paraId="65EF480E" w14:textId="27AC38E6" w:rsidR="00CE435A" w:rsidRDefault="00CE435A" w:rsidP="00644FD0">
      <w:pPr>
        <w:spacing w:after="0"/>
        <w:rPr>
          <w:b/>
          <w:bCs/>
        </w:rPr>
      </w:pPr>
    </w:p>
    <w:p w14:paraId="150F940B" w14:textId="77777777" w:rsidR="00CE435A" w:rsidRDefault="00CE435A" w:rsidP="00644FD0">
      <w:pPr>
        <w:spacing w:after="0"/>
        <w:rPr>
          <w:b/>
          <w:bCs/>
        </w:rPr>
      </w:pPr>
    </w:p>
    <w:p w14:paraId="7090D34D" w14:textId="7F07208A" w:rsidR="00CE435A" w:rsidRDefault="00CE435A" w:rsidP="00644FD0">
      <w:pPr>
        <w:spacing w:after="0"/>
        <w:rPr>
          <w:b/>
          <w:bCs/>
        </w:rPr>
      </w:pPr>
    </w:p>
    <w:p w14:paraId="524E6E6C" w14:textId="66E4DDA0" w:rsidR="00CE435A" w:rsidRPr="00D24C00" w:rsidRDefault="00CE435A" w:rsidP="00CE435A">
      <w:pPr>
        <w:rPr>
          <w:b/>
          <w:bCs/>
        </w:rPr>
      </w:pPr>
      <w:r>
        <w:rPr>
          <w:b/>
          <w:bCs/>
        </w:rPr>
        <w:t xml:space="preserve">14. </w:t>
      </w:r>
      <w:r w:rsidRPr="00D24C00">
        <w:rPr>
          <w:b/>
          <w:bCs/>
        </w:rPr>
        <w:t>Which antibiotic would you choose in the following cases?</w:t>
      </w:r>
    </w:p>
    <w:p w14:paraId="4F7839CE" w14:textId="77777777" w:rsidR="00CE435A" w:rsidRDefault="00CE435A" w:rsidP="00644FD0">
      <w:pPr>
        <w:spacing w:after="0"/>
        <w:rPr>
          <w:b/>
          <w:bCs/>
        </w:rPr>
      </w:pPr>
    </w:p>
    <w:p w14:paraId="7213A711" w14:textId="76FD3CB2" w:rsidR="00BC2655" w:rsidRDefault="00BC2655" w:rsidP="00644FD0">
      <w:pPr>
        <w:spacing w:after="0"/>
        <w:rPr>
          <w:b/>
          <w:bCs/>
        </w:rPr>
      </w:pPr>
    </w:p>
    <w:tbl>
      <w:tblPr>
        <w:tblpPr w:leftFromText="180" w:rightFromText="180" w:vertAnchor="page" w:horzAnchor="margin" w:tblpY="9471"/>
        <w:tblW w:w="9889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928"/>
        <w:gridCol w:w="4961"/>
      </w:tblGrid>
      <w:tr w:rsidR="00CE435A" w:rsidRPr="007D4B5B" w14:paraId="79D8909C" w14:textId="77777777" w:rsidTr="67229887">
        <w:tc>
          <w:tcPr>
            <w:tcW w:w="49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8DFCC48" w14:textId="3D55CC15" w:rsidR="00CE435A" w:rsidRPr="007D4B5B" w:rsidRDefault="73EB1A3B" w:rsidP="67229887">
            <w:pPr>
              <w:rPr>
                <w:rFonts w:cs="Calibri"/>
                <w:color w:val="000000" w:themeColor="text1"/>
              </w:rPr>
            </w:pPr>
            <w:r w:rsidRPr="67229887">
              <w:rPr>
                <w:rFonts w:cs="Calibri"/>
                <w:color w:val="000000" w:themeColor="text1"/>
              </w:rPr>
              <w:t>25 yo with history of IVDU with tricuspid valve endocarditis and right leg weakness. MRI shows small abscess. Blood culture with MSSA.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CACBCED" w14:textId="77777777" w:rsidR="00CE435A" w:rsidRPr="007D4B5B" w:rsidRDefault="00CE435A" w:rsidP="00CE435A"/>
        </w:tc>
      </w:tr>
      <w:tr w:rsidR="00CE435A" w:rsidRPr="007D4B5B" w14:paraId="723A28C0" w14:textId="77777777" w:rsidTr="67229887">
        <w:tblPrEx>
          <w:tblBorders>
            <w:top w:val="none" w:sz="0" w:space="0" w:color="auto"/>
          </w:tblBorders>
        </w:tblPrEx>
        <w:tc>
          <w:tcPr>
            <w:tcW w:w="49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04309993" w14:textId="77777777" w:rsidR="00CE435A" w:rsidRPr="007D4B5B" w:rsidRDefault="00CE435A" w:rsidP="00CE435A">
            <w:r w:rsidRPr="007D4B5B">
              <w:rPr>
                <w:bCs/>
              </w:rPr>
              <w:t xml:space="preserve">68 yo M presenting with 4-6 weeks of fevers and weight loss. Blood cultures + for </w:t>
            </w:r>
            <w:r w:rsidRPr="007D4B5B">
              <w:rPr>
                <w:bCs/>
                <w:i/>
                <w:iCs/>
              </w:rPr>
              <w:t>Strep gallolyticus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7805B44" w14:textId="77777777" w:rsidR="00CE435A" w:rsidRPr="007D4B5B" w:rsidRDefault="00CE435A" w:rsidP="00CE435A"/>
        </w:tc>
      </w:tr>
      <w:tr w:rsidR="00CE435A" w:rsidRPr="007D4B5B" w14:paraId="245BCC59" w14:textId="77777777" w:rsidTr="67229887">
        <w:trPr>
          <w:trHeight w:val="1091"/>
        </w:trPr>
        <w:tc>
          <w:tcPr>
            <w:tcW w:w="49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3C3A40EA" w14:textId="77777777" w:rsidR="00CE435A" w:rsidRPr="007D4B5B" w:rsidRDefault="00CE435A" w:rsidP="00CE435A">
            <w:r w:rsidRPr="007D4B5B">
              <w:rPr>
                <w:bCs/>
              </w:rPr>
              <w:t xml:space="preserve">40 yo F with history of fistulizing Crohn’s on TPN. Blood cultures with Candida albicans. 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1D931E4" w14:textId="77777777" w:rsidR="00CE435A" w:rsidRPr="007D4B5B" w:rsidRDefault="00CE435A" w:rsidP="00CE435A"/>
        </w:tc>
      </w:tr>
    </w:tbl>
    <w:p w14:paraId="6C0E6CE0" w14:textId="0073C317" w:rsidR="00BC2655" w:rsidRDefault="00BC2655" w:rsidP="00644FD0">
      <w:pPr>
        <w:spacing w:after="0"/>
        <w:rPr>
          <w:b/>
          <w:bCs/>
        </w:rPr>
      </w:pPr>
    </w:p>
    <w:p w14:paraId="74100A9D" w14:textId="26743142" w:rsidR="00BC2655" w:rsidRDefault="00BC2655" w:rsidP="00644FD0">
      <w:pPr>
        <w:spacing w:after="0"/>
        <w:rPr>
          <w:b/>
          <w:bCs/>
        </w:rPr>
      </w:pPr>
    </w:p>
    <w:p w14:paraId="6731EAA6" w14:textId="0103C836" w:rsidR="00BC2655" w:rsidRDefault="00BC2655" w:rsidP="00644FD0">
      <w:pPr>
        <w:spacing w:after="0"/>
        <w:rPr>
          <w:b/>
          <w:bCs/>
        </w:rPr>
      </w:pPr>
    </w:p>
    <w:p w14:paraId="685742CC" w14:textId="77777777" w:rsidR="00D15D79" w:rsidRDefault="00D15D79" w:rsidP="00644FD0">
      <w:pPr>
        <w:spacing w:after="0"/>
        <w:rPr>
          <w:b/>
          <w:bCs/>
        </w:rPr>
      </w:pPr>
    </w:p>
    <w:p w14:paraId="7C5D90D4" w14:textId="508A57EE" w:rsidR="000545C7" w:rsidRPr="00CE435A" w:rsidRDefault="00DC716C" w:rsidP="00CE435A">
      <w:pPr>
        <w:spacing w:after="0"/>
        <w:rPr>
          <w:b/>
          <w:bCs/>
        </w:rPr>
      </w:pPr>
      <w:r w:rsidRPr="56CFFC1C">
        <w:rPr>
          <w:b/>
          <w:bCs/>
        </w:rPr>
        <w:t>Appendix</w:t>
      </w:r>
    </w:p>
    <w:p w14:paraId="01E53FFE" w14:textId="066C1B3C" w:rsidR="79BF3C1D" w:rsidRDefault="79BF3C1D" w:rsidP="56CFFC1C">
      <w:pPr>
        <w:spacing w:after="0" w:line="240" w:lineRule="auto"/>
        <w:rPr>
          <w:b/>
          <w:bCs/>
        </w:rPr>
      </w:pPr>
      <w:r w:rsidRPr="56CFFC1C">
        <w:rPr>
          <w:b/>
          <w:bCs/>
          <w:u w:val="single"/>
        </w:rPr>
        <w:t>High Risk Echocardiogram features</w:t>
      </w:r>
      <w:r w:rsidRPr="56CFFC1C">
        <w:rPr>
          <w:b/>
          <w:bCs/>
        </w:rPr>
        <w:t>:</w:t>
      </w:r>
    </w:p>
    <w:p w14:paraId="625A830E" w14:textId="77777777" w:rsidR="79BF3C1D" w:rsidRDefault="79BF3C1D" w:rsidP="56CFFC1C">
      <w:pPr>
        <w:numPr>
          <w:ilvl w:val="0"/>
          <w:numId w:val="29"/>
        </w:numPr>
        <w:spacing w:after="0"/>
      </w:pPr>
      <w:r>
        <w:t>Large (&gt;10mm in diameter) or mobile vegetations</w:t>
      </w:r>
    </w:p>
    <w:p w14:paraId="49C774F7" w14:textId="77777777" w:rsidR="79BF3C1D" w:rsidRDefault="79BF3C1D" w:rsidP="56CFFC1C">
      <w:pPr>
        <w:numPr>
          <w:ilvl w:val="0"/>
          <w:numId w:val="29"/>
        </w:numPr>
        <w:spacing w:after="0"/>
      </w:pPr>
      <w:r>
        <w:t>Severe valvular insufficiency</w:t>
      </w:r>
    </w:p>
    <w:p w14:paraId="6737521C" w14:textId="77777777" w:rsidR="79BF3C1D" w:rsidRDefault="79BF3C1D" w:rsidP="56CFFC1C">
      <w:pPr>
        <w:numPr>
          <w:ilvl w:val="0"/>
          <w:numId w:val="29"/>
        </w:numPr>
        <w:spacing w:after="0"/>
      </w:pPr>
      <w:r>
        <w:t>Abscess cavities or pseudoaneurysms</w:t>
      </w:r>
    </w:p>
    <w:p w14:paraId="72D359CB" w14:textId="77777777" w:rsidR="79BF3C1D" w:rsidRDefault="79BF3C1D" w:rsidP="56CFFC1C">
      <w:pPr>
        <w:numPr>
          <w:ilvl w:val="0"/>
          <w:numId w:val="29"/>
        </w:numPr>
        <w:spacing w:after="0"/>
      </w:pPr>
      <w:r>
        <w:t>Valvular perforation or dehiscence</w:t>
      </w:r>
    </w:p>
    <w:p w14:paraId="31A8E9A2" w14:textId="77777777" w:rsidR="79BF3C1D" w:rsidRDefault="79BF3C1D" w:rsidP="56CFFC1C">
      <w:pPr>
        <w:numPr>
          <w:ilvl w:val="0"/>
          <w:numId w:val="29"/>
        </w:numPr>
        <w:spacing w:after="0"/>
      </w:pPr>
      <w:r>
        <w:t>Evidence of decompensated heart failure</w:t>
      </w:r>
    </w:p>
    <w:p w14:paraId="2185ACFD" w14:textId="77777777" w:rsidR="00CE435A" w:rsidRDefault="00CE435A" w:rsidP="00CE435A">
      <w:pPr>
        <w:spacing w:line="240" w:lineRule="auto"/>
        <w:contextualSpacing/>
        <w:rPr>
          <w:b/>
          <w:bCs/>
          <w:sz w:val="20"/>
          <w:szCs w:val="20"/>
          <w:u w:val="single"/>
        </w:rPr>
      </w:pPr>
    </w:p>
    <w:p w14:paraId="5F7C5AF9" w14:textId="15449994" w:rsidR="00EA3040" w:rsidRPr="00CE435A" w:rsidRDefault="00CE435A" w:rsidP="00CE435A">
      <w:pPr>
        <w:spacing w:line="240" w:lineRule="auto"/>
        <w:contextualSpacing/>
      </w:pPr>
      <w:r w:rsidRPr="00064EA2">
        <w:rPr>
          <w:b/>
          <w:bCs/>
          <w:sz w:val="20"/>
          <w:szCs w:val="20"/>
          <w:u w:val="single"/>
        </w:rPr>
        <w:t>Modified Duke Criteria for Endocarditis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E435A" w:rsidRPr="00DC0C87" w14:paraId="23E886DB" w14:textId="77777777" w:rsidTr="00693A1C">
        <w:tc>
          <w:tcPr>
            <w:tcW w:w="10795" w:type="dxa"/>
            <w:shd w:val="clear" w:color="auto" w:fill="BFBFBF"/>
          </w:tcPr>
          <w:p w14:paraId="61B6264F" w14:textId="77777777" w:rsidR="00CE435A" w:rsidRPr="00062AD5" w:rsidRDefault="00CE435A" w:rsidP="00693A1C">
            <w:pPr>
              <w:pStyle w:val="MediumGrid21"/>
              <w:rPr>
                <w:b/>
                <w:sz w:val="20"/>
                <w:szCs w:val="20"/>
              </w:rPr>
            </w:pPr>
            <w:r w:rsidRPr="00062AD5">
              <w:rPr>
                <w:b/>
                <w:sz w:val="20"/>
                <w:szCs w:val="20"/>
              </w:rPr>
              <w:t>Definite IE</w:t>
            </w:r>
          </w:p>
        </w:tc>
      </w:tr>
      <w:tr w:rsidR="00CE435A" w:rsidRPr="00DC0C87" w14:paraId="1849B317" w14:textId="77777777" w:rsidTr="00693A1C">
        <w:tc>
          <w:tcPr>
            <w:tcW w:w="10795" w:type="dxa"/>
            <w:shd w:val="clear" w:color="auto" w:fill="auto"/>
          </w:tcPr>
          <w:p w14:paraId="2A8A5773" w14:textId="77777777" w:rsidR="00CE435A" w:rsidRPr="00062AD5" w:rsidRDefault="00CE435A" w:rsidP="00693A1C">
            <w:pPr>
              <w:pStyle w:val="MediumGrid21"/>
              <w:rPr>
                <w:b/>
                <w:sz w:val="20"/>
                <w:szCs w:val="20"/>
              </w:rPr>
            </w:pPr>
            <w:r w:rsidRPr="00062AD5">
              <w:rPr>
                <w:b/>
                <w:sz w:val="20"/>
                <w:szCs w:val="20"/>
              </w:rPr>
              <w:t>Pathologic criteria</w:t>
            </w:r>
          </w:p>
        </w:tc>
      </w:tr>
      <w:tr w:rsidR="00CE435A" w:rsidRPr="00DC0C87" w14:paraId="620A8552" w14:textId="77777777" w:rsidTr="00693A1C">
        <w:tc>
          <w:tcPr>
            <w:tcW w:w="10795" w:type="dxa"/>
            <w:shd w:val="clear" w:color="auto" w:fill="auto"/>
          </w:tcPr>
          <w:p w14:paraId="5E684ACD" w14:textId="77777777" w:rsidR="00CE435A" w:rsidRPr="00062AD5" w:rsidRDefault="00CE435A" w:rsidP="00693A1C">
            <w:pPr>
              <w:pStyle w:val="MediumGrid21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 xml:space="preserve">Microorganism: demonstrated by culture or histological examination of a vegetation, a vegetation that has embolized, or an intracardiac abscess specimen </w:t>
            </w:r>
            <w:r w:rsidRPr="00062AD5">
              <w:rPr>
                <w:b/>
                <w:sz w:val="20"/>
                <w:szCs w:val="20"/>
              </w:rPr>
              <w:t>OR</w:t>
            </w:r>
          </w:p>
        </w:tc>
      </w:tr>
      <w:tr w:rsidR="00CE435A" w:rsidRPr="00DC0C87" w14:paraId="2808D4DE" w14:textId="77777777" w:rsidTr="00693A1C">
        <w:tc>
          <w:tcPr>
            <w:tcW w:w="10795" w:type="dxa"/>
            <w:shd w:val="clear" w:color="auto" w:fill="auto"/>
          </w:tcPr>
          <w:p w14:paraId="48A97561" w14:textId="77777777" w:rsidR="00CE435A" w:rsidRPr="00062AD5" w:rsidRDefault="00CE435A" w:rsidP="00693A1C">
            <w:pPr>
              <w:pStyle w:val="MediumGrid21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>Pathologic lesions: vegetation or intracardiac abscess confirmed by histological examination showing active endocarditis.</w:t>
            </w:r>
          </w:p>
        </w:tc>
      </w:tr>
      <w:tr w:rsidR="00CE435A" w:rsidRPr="00DC0C87" w14:paraId="72486CC5" w14:textId="77777777" w:rsidTr="00693A1C">
        <w:tc>
          <w:tcPr>
            <w:tcW w:w="10795" w:type="dxa"/>
            <w:shd w:val="clear" w:color="auto" w:fill="auto"/>
          </w:tcPr>
          <w:p w14:paraId="75DB1F30" w14:textId="77777777" w:rsidR="00CE435A" w:rsidRPr="00062AD5" w:rsidRDefault="00CE435A" w:rsidP="00693A1C">
            <w:pPr>
              <w:pStyle w:val="MediumGrid21"/>
              <w:rPr>
                <w:b/>
                <w:sz w:val="20"/>
                <w:szCs w:val="20"/>
              </w:rPr>
            </w:pPr>
            <w:r w:rsidRPr="00062AD5">
              <w:rPr>
                <w:b/>
                <w:sz w:val="20"/>
                <w:szCs w:val="20"/>
              </w:rPr>
              <w:t>Clinical criteria</w:t>
            </w:r>
          </w:p>
        </w:tc>
      </w:tr>
      <w:tr w:rsidR="00CE435A" w:rsidRPr="00DC0C87" w14:paraId="0E5586F1" w14:textId="77777777" w:rsidTr="00693A1C">
        <w:tc>
          <w:tcPr>
            <w:tcW w:w="10795" w:type="dxa"/>
            <w:shd w:val="clear" w:color="auto" w:fill="auto"/>
          </w:tcPr>
          <w:p w14:paraId="5F81B6FA" w14:textId="77777777" w:rsidR="00CE435A" w:rsidRPr="00062AD5" w:rsidRDefault="00CE435A" w:rsidP="00693A1C">
            <w:pPr>
              <w:pStyle w:val="MediumGrid21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lastRenderedPageBreak/>
              <w:t>Using specific definitions listed in Table 2:</w:t>
            </w:r>
          </w:p>
        </w:tc>
      </w:tr>
      <w:tr w:rsidR="00CE435A" w:rsidRPr="00DC0C87" w14:paraId="17D03925" w14:textId="77777777" w:rsidTr="00693A1C">
        <w:tc>
          <w:tcPr>
            <w:tcW w:w="10795" w:type="dxa"/>
            <w:shd w:val="clear" w:color="auto" w:fill="auto"/>
          </w:tcPr>
          <w:p w14:paraId="0226712B" w14:textId="77777777" w:rsidR="00CE435A" w:rsidRPr="00062AD5" w:rsidRDefault="00CE435A" w:rsidP="00693A1C">
            <w:pPr>
              <w:pStyle w:val="MediumGrid21"/>
              <w:ind w:left="720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 xml:space="preserve">2 major criteria </w:t>
            </w:r>
            <w:r w:rsidRPr="00062AD5">
              <w:rPr>
                <w:b/>
                <w:sz w:val="20"/>
                <w:szCs w:val="20"/>
              </w:rPr>
              <w:t>OR</w:t>
            </w:r>
          </w:p>
        </w:tc>
      </w:tr>
      <w:tr w:rsidR="00CE435A" w:rsidRPr="00DC0C87" w14:paraId="18CA503B" w14:textId="77777777" w:rsidTr="00693A1C">
        <w:tc>
          <w:tcPr>
            <w:tcW w:w="10795" w:type="dxa"/>
            <w:shd w:val="clear" w:color="auto" w:fill="auto"/>
          </w:tcPr>
          <w:p w14:paraId="2A2CEE9A" w14:textId="77777777" w:rsidR="00CE435A" w:rsidRPr="00062AD5" w:rsidRDefault="00CE435A" w:rsidP="00693A1C">
            <w:pPr>
              <w:pStyle w:val="MediumGrid21"/>
              <w:ind w:left="720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 xml:space="preserve">1 major and 3 minor criteria </w:t>
            </w:r>
            <w:r w:rsidRPr="00062AD5">
              <w:rPr>
                <w:b/>
                <w:sz w:val="20"/>
                <w:szCs w:val="20"/>
              </w:rPr>
              <w:t>OR</w:t>
            </w:r>
          </w:p>
        </w:tc>
      </w:tr>
      <w:tr w:rsidR="00CE435A" w:rsidRPr="00DC0C87" w14:paraId="2A95553B" w14:textId="77777777" w:rsidTr="00693A1C">
        <w:tc>
          <w:tcPr>
            <w:tcW w:w="10795" w:type="dxa"/>
            <w:shd w:val="clear" w:color="auto" w:fill="auto"/>
          </w:tcPr>
          <w:p w14:paraId="2474A973" w14:textId="77777777" w:rsidR="00CE435A" w:rsidRPr="00062AD5" w:rsidRDefault="00CE435A" w:rsidP="00693A1C">
            <w:pPr>
              <w:pStyle w:val="MediumGrid21"/>
              <w:ind w:left="720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>5 minor criteria</w:t>
            </w:r>
          </w:p>
        </w:tc>
      </w:tr>
      <w:tr w:rsidR="00CE435A" w:rsidRPr="00DC0C87" w14:paraId="3F5A117D" w14:textId="77777777" w:rsidTr="00693A1C">
        <w:tc>
          <w:tcPr>
            <w:tcW w:w="10795" w:type="dxa"/>
            <w:shd w:val="clear" w:color="auto" w:fill="BFBFBF"/>
          </w:tcPr>
          <w:p w14:paraId="3DF3719B" w14:textId="77777777" w:rsidR="00CE435A" w:rsidRPr="00062AD5" w:rsidRDefault="00CE435A" w:rsidP="00693A1C">
            <w:pPr>
              <w:pStyle w:val="MediumGrid21"/>
              <w:rPr>
                <w:b/>
                <w:sz w:val="20"/>
                <w:szCs w:val="20"/>
              </w:rPr>
            </w:pPr>
            <w:r w:rsidRPr="00062AD5">
              <w:rPr>
                <w:b/>
                <w:sz w:val="20"/>
                <w:szCs w:val="20"/>
              </w:rPr>
              <w:t>Possible IE</w:t>
            </w:r>
          </w:p>
        </w:tc>
      </w:tr>
      <w:tr w:rsidR="00CE435A" w:rsidRPr="00DC0C87" w14:paraId="0FEF2E90" w14:textId="77777777" w:rsidTr="00693A1C">
        <w:tc>
          <w:tcPr>
            <w:tcW w:w="10795" w:type="dxa"/>
            <w:shd w:val="clear" w:color="auto" w:fill="auto"/>
          </w:tcPr>
          <w:p w14:paraId="7D5DBB81" w14:textId="77777777" w:rsidR="00CE435A" w:rsidRPr="00062AD5" w:rsidRDefault="00CE435A" w:rsidP="00693A1C">
            <w:pPr>
              <w:pStyle w:val="MediumGrid21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 xml:space="preserve">1 major criterion and 1 minor criterion </w:t>
            </w:r>
            <w:r w:rsidRPr="00062AD5">
              <w:rPr>
                <w:b/>
                <w:sz w:val="20"/>
                <w:szCs w:val="20"/>
              </w:rPr>
              <w:t>OR</w:t>
            </w:r>
          </w:p>
        </w:tc>
      </w:tr>
      <w:tr w:rsidR="00CE435A" w:rsidRPr="00DC0C87" w14:paraId="7AAFD499" w14:textId="77777777" w:rsidTr="00693A1C">
        <w:tc>
          <w:tcPr>
            <w:tcW w:w="10795" w:type="dxa"/>
            <w:shd w:val="clear" w:color="auto" w:fill="auto"/>
          </w:tcPr>
          <w:p w14:paraId="65DA16F6" w14:textId="77777777" w:rsidR="00CE435A" w:rsidRPr="00062AD5" w:rsidRDefault="00CE435A" w:rsidP="00693A1C">
            <w:pPr>
              <w:pStyle w:val="MediumGrid21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>3 minor criteria</w:t>
            </w:r>
          </w:p>
        </w:tc>
      </w:tr>
      <w:tr w:rsidR="00CE435A" w:rsidRPr="00DC0C87" w14:paraId="1B5C44C1" w14:textId="77777777" w:rsidTr="00693A1C">
        <w:tc>
          <w:tcPr>
            <w:tcW w:w="10795" w:type="dxa"/>
            <w:shd w:val="clear" w:color="auto" w:fill="BFBFBF"/>
          </w:tcPr>
          <w:p w14:paraId="467BEDBD" w14:textId="77777777" w:rsidR="00CE435A" w:rsidRPr="00062AD5" w:rsidRDefault="00CE435A" w:rsidP="00693A1C">
            <w:pPr>
              <w:pStyle w:val="MediumGrid21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>Rejected IE</w:t>
            </w:r>
          </w:p>
        </w:tc>
      </w:tr>
      <w:tr w:rsidR="00CE435A" w:rsidRPr="00DC0C87" w14:paraId="7C567B77" w14:textId="77777777" w:rsidTr="00693A1C">
        <w:tc>
          <w:tcPr>
            <w:tcW w:w="10795" w:type="dxa"/>
            <w:shd w:val="clear" w:color="auto" w:fill="auto"/>
          </w:tcPr>
          <w:p w14:paraId="3DC65277" w14:textId="77777777" w:rsidR="00CE435A" w:rsidRPr="00062AD5" w:rsidRDefault="00CE435A" w:rsidP="00693A1C">
            <w:pPr>
              <w:pStyle w:val="MediumGrid21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 xml:space="preserve">Firm alternate diagnosis for manifestations of endocarditis </w:t>
            </w:r>
            <w:r w:rsidRPr="00062AD5">
              <w:rPr>
                <w:b/>
                <w:sz w:val="20"/>
                <w:szCs w:val="20"/>
              </w:rPr>
              <w:t>OR</w:t>
            </w:r>
          </w:p>
        </w:tc>
      </w:tr>
      <w:tr w:rsidR="00CE435A" w:rsidRPr="00DC0C87" w14:paraId="445722A8" w14:textId="77777777" w:rsidTr="00693A1C">
        <w:tc>
          <w:tcPr>
            <w:tcW w:w="10795" w:type="dxa"/>
            <w:shd w:val="clear" w:color="auto" w:fill="auto"/>
          </w:tcPr>
          <w:p w14:paraId="1CCB7513" w14:textId="77777777" w:rsidR="00CE435A" w:rsidRPr="00062AD5" w:rsidRDefault="00CE435A" w:rsidP="00693A1C">
            <w:pPr>
              <w:pStyle w:val="MediumGrid21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 xml:space="preserve">Resolution of manifestations of endocarditis, with antibiotic therapy for four days or less </w:t>
            </w:r>
            <w:r w:rsidRPr="00062AD5">
              <w:rPr>
                <w:b/>
                <w:sz w:val="20"/>
                <w:szCs w:val="20"/>
              </w:rPr>
              <w:t>OR</w:t>
            </w:r>
          </w:p>
        </w:tc>
      </w:tr>
      <w:tr w:rsidR="00CE435A" w:rsidRPr="00DC0C87" w14:paraId="798B23FB" w14:textId="77777777" w:rsidTr="00693A1C">
        <w:tc>
          <w:tcPr>
            <w:tcW w:w="10795" w:type="dxa"/>
            <w:shd w:val="clear" w:color="auto" w:fill="auto"/>
          </w:tcPr>
          <w:p w14:paraId="5DD96F2E" w14:textId="77777777" w:rsidR="00CE435A" w:rsidRPr="00062AD5" w:rsidRDefault="00CE435A" w:rsidP="00693A1C">
            <w:pPr>
              <w:pStyle w:val="MediumGrid21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>No pathologic evidence of infective endocarditis at surgery or autopsy after antibiotic therapy for four days or less</w:t>
            </w:r>
          </w:p>
        </w:tc>
      </w:tr>
      <w:tr w:rsidR="00CE435A" w:rsidRPr="00DC0C87" w14:paraId="40D72EAF" w14:textId="77777777" w:rsidTr="00693A1C">
        <w:tc>
          <w:tcPr>
            <w:tcW w:w="10795" w:type="dxa"/>
            <w:shd w:val="clear" w:color="auto" w:fill="auto"/>
          </w:tcPr>
          <w:p w14:paraId="69F04014" w14:textId="77777777" w:rsidR="00CE435A" w:rsidRPr="00062AD5" w:rsidRDefault="00CE435A" w:rsidP="00693A1C">
            <w:pPr>
              <w:pStyle w:val="MediumGrid21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>Does not meet criteria for possible infective endocarditis, as above</w:t>
            </w:r>
          </w:p>
        </w:tc>
      </w:tr>
    </w:tbl>
    <w:p w14:paraId="5A0A2947" w14:textId="12341537" w:rsidR="56CFFC1C" w:rsidRDefault="56CFFC1C" w:rsidP="56CFFC1C">
      <w:pPr>
        <w:spacing w:after="0"/>
        <w:rPr>
          <w:b/>
          <w:bCs/>
        </w:rPr>
      </w:pPr>
    </w:p>
    <w:p w14:paraId="630BCF0A" w14:textId="77777777" w:rsidR="00CE435A" w:rsidRDefault="00CE435A" w:rsidP="00CE435A">
      <w:pPr>
        <w:pStyle w:val="MediumGrid21"/>
        <w:rPr>
          <w:b/>
          <w:sz w:val="20"/>
          <w:szCs w:val="20"/>
          <w:u w:val="single"/>
        </w:rPr>
      </w:pPr>
    </w:p>
    <w:p w14:paraId="731EA4D9" w14:textId="2518241B" w:rsidR="00CE435A" w:rsidRPr="00CE435A" w:rsidRDefault="00CE435A" w:rsidP="00CE435A">
      <w:pPr>
        <w:pStyle w:val="MediumGrid21"/>
        <w:rPr>
          <w:b/>
          <w:sz w:val="20"/>
          <w:szCs w:val="20"/>
          <w:u w:val="single"/>
        </w:rPr>
      </w:pPr>
      <w:r w:rsidRPr="00DC0C87">
        <w:rPr>
          <w:b/>
          <w:sz w:val="20"/>
          <w:szCs w:val="20"/>
          <w:u w:val="single"/>
        </w:rPr>
        <w:t xml:space="preserve">Definition of Terms Used in the Modified Duke Criteria for the Diagnosis of </w:t>
      </w:r>
      <w:r>
        <w:rPr>
          <w:b/>
          <w:sz w:val="20"/>
          <w:szCs w:val="20"/>
          <w:u w:val="single"/>
        </w:rPr>
        <w:t>IE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E435A" w:rsidRPr="00DC0C87" w14:paraId="7CBB911E" w14:textId="77777777" w:rsidTr="00693A1C">
        <w:tc>
          <w:tcPr>
            <w:tcW w:w="10795" w:type="dxa"/>
            <w:shd w:val="clear" w:color="auto" w:fill="BFBFBF"/>
          </w:tcPr>
          <w:p w14:paraId="1450D9AD" w14:textId="77777777" w:rsidR="00CE435A" w:rsidRPr="00062AD5" w:rsidRDefault="00CE435A" w:rsidP="00693A1C">
            <w:pPr>
              <w:pStyle w:val="MediumGrid21"/>
              <w:rPr>
                <w:b/>
                <w:sz w:val="20"/>
                <w:szCs w:val="20"/>
              </w:rPr>
            </w:pPr>
            <w:r w:rsidRPr="00062AD5">
              <w:rPr>
                <w:b/>
                <w:sz w:val="20"/>
                <w:szCs w:val="20"/>
              </w:rPr>
              <w:t>Major Criteria</w:t>
            </w:r>
          </w:p>
        </w:tc>
      </w:tr>
      <w:tr w:rsidR="00CE435A" w:rsidRPr="00DC0C87" w14:paraId="229A678E" w14:textId="77777777" w:rsidTr="00693A1C">
        <w:tc>
          <w:tcPr>
            <w:tcW w:w="10795" w:type="dxa"/>
            <w:shd w:val="clear" w:color="auto" w:fill="auto"/>
          </w:tcPr>
          <w:p w14:paraId="42BB32D8" w14:textId="77777777" w:rsidR="00CE435A" w:rsidRPr="00062AD5" w:rsidRDefault="00CE435A" w:rsidP="00693A1C">
            <w:pPr>
              <w:pStyle w:val="MediumGrid21"/>
              <w:rPr>
                <w:sz w:val="20"/>
                <w:szCs w:val="20"/>
              </w:rPr>
            </w:pPr>
            <w:r w:rsidRPr="00062AD5">
              <w:rPr>
                <w:b/>
                <w:sz w:val="20"/>
                <w:szCs w:val="20"/>
              </w:rPr>
              <w:t>Blood culture positive for IE</w:t>
            </w:r>
          </w:p>
        </w:tc>
      </w:tr>
      <w:tr w:rsidR="00CE435A" w:rsidRPr="00DC0C87" w14:paraId="06D20440" w14:textId="77777777" w:rsidTr="00693A1C">
        <w:tc>
          <w:tcPr>
            <w:tcW w:w="10795" w:type="dxa"/>
            <w:shd w:val="clear" w:color="auto" w:fill="auto"/>
          </w:tcPr>
          <w:p w14:paraId="18837952" w14:textId="77777777" w:rsidR="00CE435A" w:rsidRPr="00062AD5" w:rsidRDefault="00CE435A" w:rsidP="00693A1C">
            <w:pPr>
              <w:pStyle w:val="MediumGrid21"/>
              <w:ind w:left="720"/>
              <w:rPr>
                <w:b/>
                <w:sz w:val="20"/>
                <w:szCs w:val="20"/>
              </w:rPr>
            </w:pPr>
            <w:r w:rsidRPr="00062AD5">
              <w:rPr>
                <w:b/>
                <w:sz w:val="20"/>
                <w:szCs w:val="20"/>
              </w:rPr>
              <w:t>Typical microorganisms consistent with IE from 2 separate blood cultures</w:t>
            </w:r>
          </w:p>
        </w:tc>
      </w:tr>
      <w:tr w:rsidR="00CE435A" w:rsidRPr="00DC0C87" w14:paraId="27473E07" w14:textId="77777777" w:rsidTr="00693A1C">
        <w:tc>
          <w:tcPr>
            <w:tcW w:w="10795" w:type="dxa"/>
            <w:shd w:val="clear" w:color="auto" w:fill="auto"/>
          </w:tcPr>
          <w:p w14:paraId="41F9CD56" w14:textId="77777777" w:rsidR="00CE435A" w:rsidRPr="00062AD5" w:rsidRDefault="00CE435A" w:rsidP="00693A1C">
            <w:pPr>
              <w:pStyle w:val="MediumGrid21"/>
              <w:ind w:left="1440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>Viridans streptococci</w:t>
            </w:r>
          </w:p>
        </w:tc>
      </w:tr>
      <w:tr w:rsidR="00CE435A" w:rsidRPr="00DC0C87" w14:paraId="2B7E5CC6" w14:textId="77777777" w:rsidTr="00693A1C">
        <w:tc>
          <w:tcPr>
            <w:tcW w:w="10795" w:type="dxa"/>
            <w:shd w:val="clear" w:color="auto" w:fill="auto"/>
          </w:tcPr>
          <w:p w14:paraId="73234797" w14:textId="77777777" w:rsidR="00CE435A" w:rsidRPr="00062AD5" w:rsidRDefault="00CE435A" w:rsidP="00693A1C">
            <w:pPr>
              <w:pStyle w:val="MediumGrid21"/>
              <w:ind w:left="1440"/>
              <w:rPr>
                <w:sz w:val="20"/>
                <w:szCs w:val="20"/>
              </w:rPr>
            </w:pPr>
            <w:r w:rsidRPr="00062AD5">
              <w:rPr>
                <w:i/>
                <w:sz w:val="20"/>
                <w:szCs w:val="20"/>
              </w:rPr>
              <w:t>Streptococcus gallolyticus</w:t>
            </w:r>
            <w:r w:rsidRPr="00062AD5">
              <w:rPr>
                <w:sz w:val="20"/>
                <w:szCs w:val="20"/>
              </w:rPr>
              <w:t xml:space="preserve"> (formerly </w:t>
            </w:r>
            <w:r w:rsidRPr="00062AD5">
              <w:rPr>
                <w:i/>
                <w:sz w:val="20"/>
                <w:szCs w:val="20"/>
              </w:rPr>
              <w:t>S. bovis</w:t>
            </w:r>
            <w:r w:rsidRPr="00062AD5">
              <w:rPr>
                <w:sz w:val="20"/>
                <w:szCs w:val="20"/>
              </w:rPr>
              <w:t>), including nutritional variant strains (</w:t>
            </w:r>
            <w:r w:rsidRPr="00062AD5">
              <w:rPr>
                <w:i/>
                <w:sz w:val="20"/>
                <w:szCs w:val="20"/>
              </w:rPr>
              <w:t>Granulicatella</w:t>
            </w:r>
            <w:r w:rsidRPr="00062AD5">
              <w:rPr>
                <w:sz w:val="20"/>
                <w:szCs w:val="20"/>
              </w:rPr>
              <w:t xml:space="preserve"> spp and </w:t>
            </w:r>
            <w:r w:rsidRPr="00062AD5">
              <w:rPr>
                <w:i/>
                <w:sz w:val="20"/>
                <w:szCs w:val="20"/>
              </w:rPr>
              <w:t>Abiotrophia defectiva</w:t>
            </w:r>
            <w:r w:rsidRPr="00062AD5">
              <w:rPr>
                <w:sz w:val="20"/>
                <w:szCs w:val="20"/>
              </w:rPr>
              <w:t>)</w:t>
            </w:r>
          </w:p>
        </w:tc>
      </w:tr>
      <w:tr w:rsidR="00CE435A" w:rsidRPr="00DC0C87" w14:paraId="5BF5F5D3" w14:textId="77777777" w:rsidTr="00693A1C">
        <w:tc>
          <w:tcPr>
            <w:tcW w:w="10795" w:type="dxa"/>
            <w:shd w:val="clear" w:color="auto" w:fill="auto"/>
          </w:tcPr>
          <w:p w14:paraId="29B9E795" w14:textId="77777777" w:rsidR="00CE435A" w:rsidRPr="00062AD5" w:rsidRDefault="00CE435A" w:rsidP="00693A1C">
            <w:pPr>
              <w:pStyle w:val="MediumGrid21"/>
              <w:ind w:left="1440"/>
              <w:rPr>
                <w:i/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 xml:space="preserve">HACEK group: </w:t>
            </w:r>
            <w:r w:rsidRPr="00062AD5">
              <w:rPr>
                <w:i/>
                <w:sz w:val="20"/>
                <w:szCs w:val="20"/>
              </w:rPr>
              <w:t xml:space="preserve">Haemophilus </w:t>
            </w:r>
            <w:r w:rsidRPr="00062AD5">
              <w:rPr>
                <w:sz w:val="20"/>
                <w:szCs w:val="20"/>
              </w:rPr>
              <w:t xml:space="preserve">spp, </w:t>
            </w:r>
            <w:r w:rsidRPr="00062AD5">
              <w:rPr>
                <w:i/>
                <w:sz w:val="20"/>
                <w:szCs w:val="20"/>
              </w:rPr>
              <w:t xml:space="preserve">Aggregatibacter </w:t>
            </w:r>
            <w:r w:rsidRPr="00062AD5">
              <w:rPr>
                <w:sz w:val="20"/>
                <w:szCs w:val="20"/>
              </w:rPr>
              <w:t xml:space="preserve">(formally </w:t>
            </w:r>
            <w:r w:rsidRPr="00062AD5">
              <w:rPr>
                <w:i/>
                <w:sz w:val="20"/>
                <w:szCs w:val="20"/>
              </w:rPr>
              <w:t>Actinobacillus actinomycete comitants</w:t>
            </w:r>
            <w:r w:rsidRPr="00062AD5">
              <w:rPr>
                <w:sz w:val="20"/>
                <w:szCs w:val="20"/>
              </w:rPr>
              <w:t xml:space="preserve">), </w:t>
            </w:r>
            <w:r w:rsidRPr="00062AD5">
              <w:rPr>
                <w:i/>
                <w:sz w:val="20"/>
                <w:szCs w:val="20"/>
              </w:rPr>
              <w:t>Cardiobacterium hominis</w:t>
            </w:r>
            <w:r w:rsidRPr="00062AD5">
              <w:rPr>
                <w:sz w:val="20"/>
                <w:szCs w:val="20"/>
              </w:rPr>
              <w:t xml:space="preserve">, </w:t>
            </w:r>
            <w:r w:rsidRPr="00062AD5">
              <w:rPr>
                <w:i/>
                <w:sz w:val="20"/>
                <w:szCs w:val="20"/>
              </w:rPr>
              <w:t xml:space="preserve">Eikenella </w:t>
            </w:r>
            <w:r w:rsidRPr="00062AD5">
              <w:rPr>
                <w:sz w:val="20"/>
                <w:szCs w:val="20"/>
              </w:rPr>
              <w:t xml:space="preserve">spp, and </w:t>
            </w:r>
            <w:r w:rsidRPr="00062AD5">
              <w:rPr>
                <w:i/>
                <w:sz w:val="20"/>
                <w:szCs w:val="20"/>
              </w:rPr>
              <w:t>Kingella kingae</w:t>
            </w:r>
          </w:p>
        </w:tc>
      </w:tr>
      <w:tr w:rsidR="00CE435A" w:rsidRPr="00DC0C87" w14:paraId="2C8540E0" w14:textId="77777777" w:rsidTr="00693A1C">
        <w:tc>
          <w:tcPr>
            <w:tcW w:w="10795" w:type="dxa"/>
            <w:shd w:val="clear" w:color="auto" w:fill="auto"/>
          </w:tcPr>
          <w:p w14:paraId="05E4906C" w14:textId="77777777" w:rsidR="00CE435A" w:rsidRPr="00062AD5" w:rsidRDefault="00CE435A" w:rsidP="00693A1C">
            <w:pPr>
              <w:pStyle w:val="MediumGrid21"/>
              <w:ind w:left="1440"/>
              <w:rPr>
                <w:i/>
                <w:sz w:val="20"/>
                <w:szCs w:val="20"/>
              </w:rPr>
            </w:pPr>
            <w:r w:rsidRPr="00062AD5">
              <w:rPr>
                <w:i/>
                <w:sz w:val="20"/>
                <w:szCs w:val="20"/>
              </w:rPr>
              <w:t>Staphylococcus aureus</w:t>
            </w:r>
          </w:p>
        </w:tc>
      </w:tr>
      <w:tr w:rsidR="00CE435A" w:rsidRPr="00DC0C87" w14:paraId="6E9FE91B" w14:textId="77777777" w:rsidTr="00693A1C">
        <w:tc>
          <w:tcPr>
            <w:tcW w:w="10795" w:type="dxa"/>
            <w:shd w:val="clear" w:color="auto" w:fill="auto"/>
          </w:tcPr>
          <w:p w14:paraId="0F16895A" w14:textId="77777777" w:rsidR="00CE435A" w:rsidRPr="00062AD5" w:rsidRDefault="00CE435A" w:rsidP="00693A1C">
            <w:pPr>
              <w:pStyle w:val="MediumGrid21"/>
              <w:ind w:left="1440"/>
              <w:rPr>
                <w:b/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 xml:space="preserve">Community-acquired enterococci, in the absence of a primary focus; </w:t>
            </w:r>
            <w:r w:rsidRPr="00062AD5">
              <w:rPr>
                <w:b/>
                <w:sz w:val="20"/>
                <w:szCs w:val="20"/>
              </w:rPr>
              <w:t>OR</w:t>
            </w:r>
          </w:p>
        </w:tc>
      </w:tr>
      <w:tr w:rsidR="00CE435A" w:rsidRPr="00DC0C87" w14:paraId="36F8F01A" w14:textId="77777777" w:rsidTr="00693A1C">
        <w:tc>
          <w:tcPr>
            <w:tcW w:w="10795" w:type="dxa"/>
            <w:shd w:val="clear" w:color="auto" w:fill="auto"/>
          </w:tcPr>
          <w:p w14:paraId="07BE9F7B" w14:textId="77777777" w:rsidR="00CE435A" w:rsidRPr="00062AD5" w:rsidRDefault="00CE435A" w:rsidP="00693A1C">
            <w:pPr>
              <w:pStyle w:val="MediumGrid21"/>
              <w:ind w:left="720"/>
              <w:rPr>
                <w:b/>
                <w:sz w:val="20"/>
                <w:szCs w:val="20"/>
              </w:rPr>
            </w:pPr>
            <w:r w:rsidRPr="00062AD5">
              <w:rPr>
                <w:b/>
                <w:sz w:val="20"/>
                <w:szCs w:val="20"/>
              </w:rPr>
              <w:t>Persistently positive blood culture, defined as recovery of a microorganism consistent with IE from:</w:t>
            </w:r>
          </w:p>
        </w:tc>
      </w:tr>
      <w:tr w:rsidR="00CE435A" w:rsidRPr="00DC0C87" w14:paraId="6B2F231A" w14:textId="77777777" w:rsidTr="00693A1C">
        <w:tc>
          <w:tcPr>
            <w:tcW w:w="10795" w:type="dxa"/>
            <w:shd w:val="clear" w:color="auto" w:fill="auto"/>
          </w:tcPr>
          <w:p w14:paraId="071FD4B0" w14:textId="77777777" w:rsidR="00CE435A" w:rsidRPr="00062AD5" w:rsidRDefault="00CE435A" w:rsidP="00693A1C">
            <w:pPr>
              <w:pStyle w:val="MediumGrid21"/>
              <w:ind w:left="1440"/>
              <w:rPr>
                <w:b/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 xml:space="preserve">Blood cultures drawn more than 12 hours apart </w:t>
            </w:r>
            <w:r w:rsidRPr="00062AD5">
              <w:rPr>
                <w:b/>
                <w:sz w:val="20"/>
                <w:szCs w:val="20"/>
              </w:rPr>
              <w:t>OR</w:t>
            </w:r>
          </w:p>
        </w:tc>
      </w:tr>
      <w:tr w:rsidR="00CE435A" w:rsidRPr="00DC0C87" w14:paraId="7F15B831" w14:textId="77777777" w:rsidTr="00693A1C">
        <w:tc>
          <w:tcPr>
            <w:tcW w:w="10795" w:type="dxa"/>
            <w:shd w:val="clear" w:color="auto" w:fill="auto"/>
          </w:tcPr>
          <w:p w14:paraId="0A627B02" w14:textId="77777777" w:rsidR="00CE435A" w:rsidRPr="00062AD5" w:rsidRDefault="00CE435A" w:rsidP="00693A1C">
            <w:pPr>
              <w:pStyle w:val="MediumGrid21"/>
              <w:ind w:left="1440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>All of three or a majority of four or more separate blood cultures, with first and last drawn at least one hour apart</w:t>
            </w:r>
          </w:p>
        </w:tc>
      </w:tr>
      <w:tr w:rsidR="00CE435A" w:rsidRPr="00DC0C87" w14:paraId="0D0223BC" w14:textId="77777777" w:rsidTr="00693A1C">
        <w:tc>
          <w:tcPr>
            <w:tcW w:w="10795" w:type="dxa"/>
            <w:shd w:val="clear" w:color="auto" w:fill="auto"/>
          </w:tcPr>
          <w:p w14:paraId="7F48200A" w14:textId="77777777" w:rsidR="00CE435A" w:rsidRPr="00062AD5" w:rsidRDefault="00CE435A" w:rsidP="00693A1C">
            <w:pPr>
              <w:pStyle w:val="MediumGrid21"/>
              <w:ind w:left="720"/>
              <w:rPr>
                <w:b/>
                <w:sz w:val="20"/>
                <w:szCs w:val="20"/>
              </w:rPr>
            </w:pPr>
            <w:r w:rsidRPr="00062AD5">
              <w:rPr>
                <w:b/>
                <w:sz w:val="20"/>
                <w:szCs w:val="20"/>
              </w:rPr>
              <w:t xml:space="preserve">Single positive blood culture for </w:t>
            </w:r>
            <w:r w:rsidRPr="00062AD5">
              <w:rPr>
                <w:b/>
                <w:i/>
                <w:sz w:val="20"/>
                <w:szCs w:val="20"/>
              </w:rPr>
              <w:t>Coxiella burnetii</w:t>
            </w:r>
            <w:r w:rsidRPr="00062AD5">
              <w:rPr>
                <w:b/>
                <w:sz w:val="20"/>
                <w:szCs w:val="20"/>
              </w:rPr>
              <w:t xml:space="preserve"> or antiphase I IgG antibody titer &gt;1:800</w:t>
            </w:r>
          </w:p>
        </w:tc>
      </w:tr>
      <w:tr w:rsidR="00CE435A" w:rsidRPr="00DC0C87" w14:paraId="72FAEC14" w14:textId="77777777" w:rsidTr="00693A1C">
        <w:tc>
          <w:tcPr>
            <w:tcW w:w="10795" w:type="dxa"/>
            <w:shd w:val="clear" w:color="auto" w:fill="auto"/>
          </w:tcPr>
          <w:p w14:paraId="26219FC4" w14:textId="77777777" w:rsidR="00CE435A" w:rsidRPr="00062AD5" w:rsidRDefault="00CE435A" w:rsidP="00693A1C">
            <w:pPr>
              <w:pStyle w:val="MediumGrid21"/>
              <w:rPr>
                <w:b/>
                <w:sz w:val="20"/>
                <w:szCs w:val="20"/>
              </w:rPr>
            </w:pPr>
            <w:r w:rsidRPr="00062AD5">
              <w:rPr>
                <w:b/>
                <w:sz w:val="20"/>
                <w:szCs w:val="20"/>
              </w:rPr>
              <w:t>Evidence of endocardial involvement</w:t>
            </w:r>
          </w:p>
        </w:tc>
      </w:tr>
      <w:tr w:rsidR="00CE435A" w:rsidRPr="00DC0C87" w14:paraId="6B9775DF" w14:textId="77777777" w:rsidTr="00693A1C">
        <w:tc>
          <w:tcPr>
            <w:tcW w:w="10795" w:type="dxa"/>
            <w:shd w:val="clear" w:color="auto" w:fill="auto"/>
          </w:tcPr>
          <w:p w14:paraId="1F3FBF37" w14:textId="77777777" w:rsidR="00CE435A" w:rsidRPr="00062AD5" w:rsidRDefault="00CE435A" w:rsidP="00693A1C">
            <w:pPr>
              <w:pStyle w:val="MediumGrid21"/>
              <w:ind w:left="720"/>
              <w:rPr>
                <w:b/>
                <w:sz w:val="20"/>
                <w:szCs w:val="20"/>
              </w:rPr>
            </w:pPr>
            <w:r w:rsidRPr="00062AD5">
              <w:rPr>
                <w:b/>
                <w:sz w:val="20"/>
                <w:szCs w:val="20"/>
              </w:rPr>
              <w:t>Positive echocardiogram for IE</w:t>
            </w:r>
          </w:p>
        </w:tc>
      </w:tr>
      <w:tr w:rsidR="00CE435A" w:rsidRPr="00DC0C87" w14:paraId="73F7B8F8" w14:textId="77777777" w:rsidTr="00693A1C">
        <w:tc>
          <w:tcPr>
            <w:tcW w:w="10795" w:type="dxa"/>
            <w:shd w:val="clear" w:color="auto" w:fill="auto"/>
          </w:tcPr>
          <w:p w14:paraId="2C91E47F" w14:textId="77777777" w:rsidR="00CE435A" w:rsidRPr="00062AD5" w:rsidRDefault="00CE435A" w:rsidP="00693A1C">
            <w:pPr>
              <w:pStyle w:val="MediumGrid21"/>
              <w:ind w:left="720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>TEE recommended in patients with prosthetic valves, rated at least “possible IE” by clinical criteria, or complicated IE (paravalvular abscess)</w:t>
            </w:r>
          </w:p>
        </w:tc>
      </w:tr>
      <w:tr w:rsidR="00CE435A" w:rsidRPr="00DC0C87" w14:paraId="27328BF1" w14:textId="77777777" w:rsidTr="00693A1C">
        <w:tc>
          <w:tcPr>
            <w:tcW w:w="10795" w:type="dxa"/>
            <w:shd w:val="clear" w:color="auto" w:fill="auto"/>
          </w:tcPr>
          <w:p w14:paraId="01800453" w14:textId="77777777" w:rsidR="00CE435A" w:rsidRPr="00062AD5" w:rsidRDefault="00CE435A" w:rsidP="00693A1C">
            <w:pPr>
              <w:pStyle w:val="MediumGrid21"/>
              <w:ind w:left="720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>Definition on positive echocardiogram</w:t>
            </w:r>
          </w:p>
        </w:tc>
      </w:tr>
      <w:tr w:rsidR="00CE435A" w:rsidRPr="00DC0C87" w14:paraId="09B5FBD8" w14:textId="77777777" w:rsidTr="00693A1C">
        <w:tc>
          <w:tcPr>
            <w:tcW w:w="10795" w:type="dxa"/>
            <w:shd w:val="clear" w:color="auto" w:fill="auto"/>
          </w:tcPr>
          <w:p w14:paraId="592F6156" w14:textId="77777777" w:rsidR="00CE435A" w:rsidRPr="00062AD5" w:rsidRDefault="00CE435A" w:rsidP="00693A1C">
            <w:pPr>
              <w:pStyle w:val="MediumGrid21"/>
              <w:ind w:left="1440"/>
              <w:rPr>
                <w:b/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 xml:space="preserve">Oscillating intracardiac mass on valve or supporting structures, in the path of regurgitant jets, or an implanted material in the absence of an alternative anatomic explanation </w:t>
            </w:r>
            <w:r w:rsidRPr="00062AD5">
              <w:rPr>
                <w:b/>
                <w:sz w:val="20"/>
                <w:szCs w:val="20"/>
              </w:rPr>
              <w:t>OR</w:t>
            </w:r>
          </w:p>
        </w:tc>
      </w:tr>
      <w:tr w:rsidR="00CE435A" w:rsidRPr="00DC0C87" w14:paraId="6D7A90BA" w14:textId="77777777" w:rsidTr="00693A1C">
        <w:tc>
          <w:tcPr>
            <w:tcW w:w="10795" w:type="dxa"/>
            <w:shd w:val="clear" w:color="auto" w:fill="auto"/>
          </w:tcPr>
          <w:p w14:paraId="258B564D" w14:textId="77777777" w:rsidR="00CE435A" w:rsidRPr="00062AD5" w:rsidRDefault="00CE435A" w:rsidP="00693A1C">
            <w:pPr>
              <w:pStyle w:val="MediumGrid21"/>
              <w:ind w:left="1440"/>
              <w:rPr>
                <w:b/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 xml:space="preserve">Abscess </w:t>
            </w:r>
            <w:r w:rsidRPr="00062AD5">
              <w:rPr>
                <w:b/>
                <w:sz w:val="20"/>
                <w:szCs w:val="20"/>
              </w:rPr>
              <w:t>OR</w:t>
            </w:r>
          </w:p>
        </w:tc>
      </w:tr>
      <w:tr w:rsidR="00CE435A" w:rsidRPr="00DC0C87" w14:paraId="680DDA43" w14:textId="77777777" w:rsidTr="00693A1C">
        <w:tc>
          <w:tcPr>
            <w:tcW w:w="10795" w:type="dxa"/>
            <w:shd w:val="clear" w:color="auto" w:fill="auto"/>
          </w:tcPr>
          <w:p w14:paraId="120F17B9" w14:textId="77777777" w:rsidR="00CE435A" w:rsidRPr="00062AD5" w:rsidRDefault="00CE435A" w:rsidP="00693A1C">
            <w:pPr>
              <w:pStyle w:val="MediumGrid21"/>
              <w:ind w:left="1440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>New partial dehiscence of prosthetic valve</w:t>
            </w:r>
          </w:p>
        </w:tc>
      </w:tr>
      <w:tr w:rsidR="00CE435A" w:rsidRPr="00DC0C87" w14:paraId="6FDA1D28" w14:textId="77777777" w:rsidTr="00693A1C">
        <w:tc>
          <w:tcPr>
            <w:tcW w:w="10795" w:type="dxa"/>
            <w:shd w:val="clear" w:color="auto" w:fill="auto"/>
          </w:tcPr>
          <w:p w14:paraId="767B362C" w14:textId="77777777" w:rsidR="00CE435A" w:rsidRPr="00062AD5" w:rsidRDefault="00CE435A" w:rsidP="00693A1C">
            <w:pPr>
              <w:pStyle w:val="MediumGrid21"/>
              <w:ind w:left="720"/>
              <w:rPr>
                <w:b/>
                <w:sz w:val="20"/>
                <w:szCs w:val="20"/>
              </w:rPr>
            </w:pPr>
            <w:r w:rsidRPr="00062AD5">
              <w:rPr>
                <w:b/>
                <w:sz w:val="20"/>
                <w:szCs w:val="20"/>
              </w:rPr>
              <w:t>New valvular regurgitation</w:t>
            </w:r>
          </w:p>
        </w:tc>
      </w:tr>
      <w:tr w:rsidR="00CE435A" w:rsidRPr="00DC0C87" w14:paraId="401F4107" w14:textId="77777777" w:rsidTr="00693A1C">
        <w:tc>
          <w:tcPr>
            <w:tcW w:w="10795" w:type="dxa"/>
            <w:shd w:val="clear" w:color="auto" w:fill="auto"/>
          </w:tcPr>
          <w:p w14:paraId="1D9D8C62" w14:textId="77777777" w:rsidR="00CE435A" w:rsidRPr="00062AD5" w:rsidRDefault="00CE435A" w:rsidP="00693A1C">
            <w:pPr>
              <w:pStyle w:val="MediumGrid21"/>
              <w:ind w:left="1440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>Increase in or change in preexisting murmur not sufficient</w:t>
            </w:r>
          </w:p>
        </w:tc>
      </w:tr>
      <w:tr w:rsidR="00CE435A" w:rsidRPr="00DC0C87" w14:paraId="670198BB" w14:textId="77777777" w:rsidTr="00693A1C">
        <w:tc>
          <w:tcPr>
            <w:tcW w:w="10795" w:type="dxa"/>
            <w:shd w:val="clear" w:color="auto" w:fill="BFBFBF"/>
          </w:tcPr>
          <w:p w14:paraId="0A0E7094" w14:textId="77777777" w:rsidR="00CE435A" w:rsidRPr="00062AD5" w:rsidRDefault="00CE435A" w:rsidP="00693A1C">
            <w:pPr>
              <w:pStyle w:val="MediumGrid21"/>
              <w:rPr>
                <w:b/>
                <w:sz w:val="20"/>
                <w:szCs w:val="20"/>
              </w:rPr>
            </w:pPr>
            <w:r w:rsidRPr="00062AD5">
              <w:rPr>
                <w:b/>
                <w:sz w:val="20"/>
                <w:szCs w:val="20"/>
              </w:rPr>
              <w:t>Minor criteria</w:t>
            </w:r>
          </w:p>
        </w:tc>
      </w:tr>
      <w:tr w:rsidR="00CE435A" w:rsidRPr="00DC0C87" w14:paraId="050DB9A0" w14:textId="77777777" w:rsidTr="00693A1C">
        <w:tc>
          <w:tcPr>
            <w:tcW w:w="10795" w:type="dxa"/>
            <w:shd w:val="clear" w:color="auto" w:fill="auto"/>
          </w:tcPr>
          <w:p w14:paraId="434D3C43" w14:textId="77777777" w:rsidR="00CE435A" w:rsidRPr="00062AD5" w:rsidRDefault="00CE435A" w:rsidP="00693A1C">
            <w:pPr>
              <w:pStyle w:val="MediumGrid21"/>
              <w:ind w:left="720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>Predisposition: predisposing heart condition or intravenous drug use</w:t>
            </w:r>
          </w:p>
        </w:tc>
      </w:tr>
      <w:tr w:rsidR="00CE435A" w:rsidRPr="00DC0C87" w14:paraId="079FF538" w14:textId="77777777" w:rsidTr="00693A1C">
        <w:tc>
          <w:tcPr>
            <w:tcW w:w="10795" w:type="dxa"/>
            <w:shd w:val="clear" w:color="auto" w:fill="auto"/>
          </w:tcPr>
          <w:p w14:paraId="7A96D616" w14:textId="77777777" w:rsidR="00CE435A" w:rsidRPr="00062AD5" w:rsidRDefault="00CE435A" w:rsidP="00693A1C">
            <w:pPr>
              <w:pStyle w:val="MediumGrid21"/>
              <w:ind w:left="720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>Fever: 38.0</w:t>
            </w:r>
            <w:r w:rsidRPr="00062AD5">
              <w:rPr>
                <w:rFonts w:cs="Calibri"/>
                <w:sz w:val="20"/>
                <w:szCs w:val="20"/>
              </w:rPr>
              <w:t>°</w:t>
            </w:r>
            <w:r w:rsidRPr="00062AD5">
              <w:rPr>
                <w:sz w:val="20"/>
                <w:szCs w:val="20"/>
              </w:rPr>
              <w:t>C (100.4</w:t>
            </w:r>
            <w:r w:rsidRPr="00062AD5">
              <w:rPr>
                <w:rFonts w:cs="Calibri"/>
                <w:sz w:val="20"/>
                <w:szCs w:val="20"/>
              </w:rPr>
              <w:t>°</w:t>
            </w:r>
            <w:r w:rsidRPr="00062AD5">
              <w:rPr>
                <w:sz w:val="20"/>
                <w:szCs w:val="20"/>
              </w:rPr>
              <w:t>F)</w:t>
            </w:r>
          </w:p>
        </w:tc>
      </w:tr>
      <w:tr w:rsidR="00CE435A" w:rsidRPr="00DC0C87" w14:paraId="7250869D" w14:textId="77777777" w:rsidTr="00693A1C">
        <w:tc>
          <w:tcPr>
            <w:tcW w:w="10795" w:type="dxa"/>
            <w:shd w:val="clear" w:color="auto" w:fill="auto"/>
          </w:tcPr>
          <w:p w14:paraId="1E8F1620" w14:textId="77777777" w:rsidR="00CE435A" w:rsidRPr="00062AD5" w:rsidRDefault="00CE435A" w:rsidP="00693A1C">
            <w:pPr>
              <w:ind w:left="720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>Vascular phenomena: major arterial emboli, septic pulmonary infarcts, mycotic aneurysm, intracranial hemorrhage, conjunctival hemorrhages, and Janeway lesions</w:t>
            </w:r>
          </w:p>
        </w:tc>
      </w:tr>
      <w:tr w:rsidR="00CE435A" w:rsidRPr="00DC0C87" w14:paraId="10B7807B" w14:textId="77777777" w:rsidTr="00693A1C">
        <w:tc>
          <w:tcPr>
            <w:tcW w:w="10795" w:type="dxa"/>
            <w:shd w:val="clear" w:color="auto" w:fill="auto"/>
          </w:tcPr>
          <w:p w14:paraId="16492FB2" w14:textId="77777777" w:rsidR="00CE435A" w:rsidRPr="00062AD5" w:rsidRDefault="00CE435A" w:rsidP="00693A1C">
            <w:pPr>
              <w:pStyle w:val="MediumGrid21"/>
              <w:ind w:left="720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>Immunological phenomena: glomerulonephritis, Osler nodes, Roth spots, and rheumatoid factor</w:t>
            </w:r>
          </w:p>
        </w:tc>
      </w:tr>
      <w:tr w:rsidR="00CE435A" w:rsidRPr="00DC0C87" w14:paraId="2EB128AE" w14:textId="77777777" w:rsidTr="00693A1C">
        <w:tc>
          <w:tcPr>
            <w:tcW w:w="10795" w:type="dxa"/>
            <w:shd w:val="clear" w:color="auto" w:fill="auto"/>
          </w:tcPr>
          <w:p w14:paraId="6AC8A6BA" w14:textId="77777777" w:rsidR="00CE435A" w:rsidRPr="00062AD5" w:rsidRDefault="00CE435A" w:rsidP="00693A1C">
            <w:pPr>
              <w:ind w:left="720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lastRenderedPageBreak/>
              <w:t xml:space="preserve">Microbiological evidence: positive blood culture but does not meet a major criterion as noted above (excludes single positive cultures for coagulase-negative staphylococci and organisms that do not cause endocarditis) </w:t>
            </w:r>
            <w:r w:rsidRPr="00062AD5">
              <w:rPr>
                <w:b/>
                <w:sz w:val="20"/>
                <w:szCs w:val="20"/>
              </w:rPr>
              <w:t>OR</w:t>
            </w:r>
            <w:r w:rsidRPr="00062AD5">
              <w:rPr>
                <w:sz w:val="20"/>
                <w:szCs w:val="20"/>
              </w:rPr>
              <w:t xml:space="preserve"> serological evidence of active infection with organism consistent with IE</w:t>
            </w:r>
          </w:p>
        </w:tc>
      </w:tr>
      <w:tr w:rsidR="00CE435A" w:rsidRPr="00DC0C87" w14:paraId="07C56AA5" w14:textId="77777777" w:rsidTr="00693A1C">
        <w:tc>
          <w:tcPr>
            <w:tcW w:w="10795" w:type="dxa"/>
            <w:shd w:val="clear" w:color="auto" w:fill="auto"/>
          </w:tcPr>
          <w:p w14:paraId="5D725F78" w14:textId="77777777" w:rsidR="00CE435A" w:rsidRPr="00062AD5" w:rsidRDefault="00CE435A" w:rsidP="00693A1C">
            <w:pPr>
              <w:pStyle w:val="MediumGrid21"/>
              <w:ind w:left="720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>Echocardiographic minor criteria eliminated</w:t>
            </w:r>
          </w:p>
        </w:tc>
      </w:tr>
    </w:tbl>
    <w:p w14:paraId="19C777EF" w14:textId="77777777" w:rsidR="00CE435A" w:rsidRDefault="00CE435A" w:rsidP="56CFFC1C">
      <w:pPr>
        <w:spacing w:after="0"/>
        <w:rPr>
          <w:b/>
          <w:bCs/>
        </w:rPr>
      </w:pPr>
    </w:p>
    <w:p w14:paraId="253AB601" w14:textId="365096B5" w:rsidR="56CFFC1C" w:rsidRDefault="56CFFC1C" w:rsidP="56CFFC1C">
      <w:pPr>
        <w:spacing w:after="0"/>
      </w:pPr>
    </w:p>
    <w:sectPr w:rsidR="56CFFC1C" w:rsidSect="00E051E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59DC" w14:textId="77777777" w:rsidR="00D13275" w:rsidRDefault="00D13275" w:rsidP="000534AE">
      <w:pPr>
        <w:spacing w:after="0" w:line="240" w:lineRule="auto"/>
      </w:pPr>
      <w:r>
        <w:separator/>
      </w:r>
    </w:p>
  </w:endnote>
  <w:endnote w:type="continuationSeparator" w:id="0">
    <w:p w14:paraId="6AE8CE1B" w14:textId="77777777" w:rsidR="00D13275" w:rsidRDefault="00D13275" w:rsidP="0005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57D5" w14:textId="77777777" w:rsidR="00D13275" w:rsidRDefault="00D13275" w:rsidP="000534AE">
      <w:pPr>
        <w:spacing w:after="0" w:line="240" w:lineRule="auto"/>
      </w:pPr>
      <w:r>
        <w:separator/>
      </w:r>
    </w:p>
  </w:footnote>
  <w:footnote w:type="continuationSeparator" w:id="0">
    <w:p w14:paraId="64429190" w14:textId="77777777" w:rsidR="00D13275" w:rsidRDefault="00D13275" w:rsidP="0005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626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A4D89"/>
    <w:multiLevelType w:val="hybridMultilevel"/>
    <w:tmpl w:val="0A6290FA"/>
    <w:lvl w:ilvl="0" w:tplc="43B62BF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92F3C"/>
    <w:multiLevelType w:val="hybridMultilevel"/>
    <w:tmpl w:val="0626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3C17"/>
    <w:multiLevelType w:val="hybridMultilevel"/>
    <w:tmpl w:val="F3D6E8D8"/>
    <w:lvl w:ilvl="0" w:tplc="43B62BF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86310"/>
    <w:multiLevelType w:val="hybridMultilevel"/>
    <w:tmpl w:val="BCE2A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A36B9"/>
    <w:multiLevelType w:val="hybridMultilevel"/>
    <w:tmpl w:val="EE4450A2"/>
    <w:lvl w:ilvl="0" w:tplc="CC9E43F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6B53F4"/>
    <w:multiLevelType w:val="hybridMultilevel"/>
    <w:tmpl w:val="AB5EB6D8"/>
    <w:lvl w:ilvl="0" w:tplc="9A042C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F11E8"/>
    <w:multiLevelType w:val="hybridMultilevel"/>
    <w:tmpl w:val="19926BD8"/>
    <w:lvl w:ilvl="0" w:tplc="A95228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535C1"/>
    <w:multiLevelType w:val="hybridMultilevel"/>
    <w:tmpl w:val="8E281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10264"/>
    <w:multiLevelType w:val="hybridMultilevel"/>
    <w:tmpl w:val="3FF4FFE0"/>
    <w:lvl w:ilvl="0" w:tplc="43B62B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B1B9D"/>
    <w:multiLevelType w:val="hybridMultilevel"/>
    <w:tmpl w:val="C944E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67C23"/>
    <w:multiLevelType w:val="hybridMultilevel"/>
    <w:tmpl w:val="8206B53C"/>
    <w:lvl w:ilvl="0" w:tplc="D590A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442EC"/>
    <w:multiLevelType w:val="hybridMultilevel"/>
    <w:tmpl w:val="23D4E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24173"/>
    <w:multiLevelType w:val="hybridMultilevel"/>
    <w:tmpl w:val="FE4677E8"/>
    <w:lvl w:ilvl="0" w:tplc="43B62B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E52D0"/>
    <w:multiLevelType w:val="hybridMultilevel"/>
    <w:tmpl w:val="48042C56"/>
    <w:lvl w:ilvl="0" w:tplc="43B62B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37C7B"/>
    <w:multiLevelType w:val="hybridMultilevel"/>
    <w:tmpl w:val="861684A6"/>
    <w:lvl w:ilvl="0" w:tplc="43B62BF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42277"/>
    <w:multiLevelType w:val="hybridMultilevel"/>
    <w:tmpl w:val="1AE2D66A"/>
    <w:lvl w:ilvl="0" w:tplc="43B62B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60667"/>
    <w:multiLevelType w:val="hybridMultilevel"/>
    <w:tmpl w:val="A5A66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96A17"/>
    <w:multiLevelType w:val="hybridMultilevel"/>
    <w:tmpl w:val="2A0ED33E"/>
    <w:lvl w:ilvl="0" w:tplc="6AD047E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F3C1A"/>
    <w:multiLevelType w:val="hybridMultilevel"/>
    <w:tmpl w:val="50C8A040"/>
    <w:lvl w:ilvl="0" w:tplc="70F290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106C9B"/>
    <w:multiLevelType w:val="hybridMultilevel"/>
    <w:tmpl w:val="DEF62E40"/>
    <w:lvl w:ilvl="0" w:tplc="43B62B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B0E43"/>
    <w:multiLevelType w:val="hybridMultilevel"/>
    <w:tmpl w:val="9E0813F4"/>
    <w:lvl w:ilvl="0" w:tplc="88E8AAD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94324"/>
    <w:multiLevelType w:val="hybridMultilevel"/>
    <w:tmpl w:val="F2543096"/>
    <w:lvl w:ilvl="0" w:tplc="43B62BF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842E5"/>
    <w:multiLevelType w:val="hybridMultilevel"/>
    <w:tmpl w:val="2884C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21ED5"/>
    <w:multiLevelType w:val="hybridMultilevel"/>
    <w:tmpl w:val="148EF03A"/>
    <w:lvl w:ilvl="0" w:tplc="BBF431F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379F4"/>
    <w:multiLevelType w:val="hybridMultilevel"/>
    <w:tmpl w:val="9C6EA758"/>
    <w:lvl w:ilvl="0" w:tplc="C830830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F59B5"/>
    <w:multiLevelType w:val="hybridMultilevel"/>
    <w:tmpl w:val="D2A6E120"/>
    <w:lvl w:ilvl="0" w:tplc="BB227A2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45BBA"/>
    <w:multiLevelType w:val="hybridMultilevel"/>
    <w:tmpl w:val="22A43DB8"/>
    <w:lvl w:ilvl="0" w:tplc="0362FF84">
      <w:start w:val="3"/>
      <w:numFmt w:val="bullet"/>
      <w:lvlText w:val="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2286B"/>
    <w:multiLevelType w:val="hybridMultilevel"/>
    <w:tmpl w:val="5DF04062"/>
    <w:lvl w:ilvl="0" w:tplc="43B62B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F165A"/>
    <w:multiLevelType w:val="hybridMultilevel"/>
    <w:tmpl w:val="E0FCCFA6"/>
    <w:lvl w:ilvl="0" w:tplc="7F3E026A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26668A"/>
    <w:multiLevelType w:val="hybridMultilevel"/>
    <w:tmpl w:val="142C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806454"/>
    <w:multiLevelType w:val="hybridMultilevel"/>
    <w:tmpl w:val="643EF9B4"/>
    <w:lvl w:ilvl="0" w:tplc="C128B7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543229">
    <w:abstractNumId w:val="12"/>
  </w:num>
  <w:num w:numId="2" w16cid:durableId="2036692985">
    <w:abstractNumId w:val="8"/>
  </w:num>
  <w:num w:numId="3" w16cid:durableId="374937787">
    <w:abstractNumId w:val="19"/>
  </w:num>
  <w:num w:numId="4" w16cid:durableId="344208647">
    <w:abstractNumId w:val="4"/>
  </w:num>
  <w:num w:numId="5" w16cid:durableId="1912033741">
    <w:abstractNumId w:val="31"/>
  </w:num>
  <w:num w:numId="6" w16cid:durableId="351686504">
    <w:abstractNumId w:val="6"/>
  </w:num>
  <w:num w:numId="7" w16cid:durableId="1873151571">
    <w:abstractNumId w:val="11"/>
  </w:num>
  <w:num w:numId="8" w16cid:durableId="938027195">
    <w:abstractNumId w:val="7"/>
  </w:num>
  <w:num w:numId="9" w16cid:durableId="1649751004">
    <w:abstractNumId w:val="20"/>
  </w:num>
  <w:num w:numId="10" w16cid:durableId="142628301">
    <w:abstractNumId w:val="10"/>
  </w:num>
  <w:num w:numId="11" w16cid:durableId="773330277">
    <w:abstractNumId w:val="30"/>
  </w:num>
  <w:num w:numId="12" w16cid:durableId="1444425734">
    <w:abstractNumId w:val="15"/>
  </w:num>
  <w:num w:numId="13" w16cid:durableId="913585453">
    <w:abstractNumId w:val="27"/>
  </w:num>
  <w:num w:numId="14" w16cid:durableId="159197431">
    <w:abstractNumId w:val="3"/>
  </w:num>
  <w:num w:numId="15" w16cid:durableId="175970059">
    <w:abstractNumId w:val="1"/>
  </w:num>
  <w:num w:numId="16" w16cid:durableId="1621450204">
    <w:abstractNumId w:val="9"/>
  </w:num>
  <w:num w:numId="17" w16cid:durableId="1993942084">
    <w:abstractNumId w:val="28"/>
  </w:num>
  <w:num w:numId="18" w16cid:durableId="1720787819">
    <w:abstractNumId w:val="14"/>
  </w:num>
  <w:num w:numId="19" w16cid:durableId="825130761">
    <w:abstractNumId w:val="13"/>
  </w:num>
  <w:num w:numId="20" w16cid:durableId="371270919">
    <w:abstractNumId w:val="16"/>
  </w:num>
  <w:num w:numId="21" w16cid:durableId="1824858030">
    <w:abstractNumId w:val="22"/>
  </w:num>
  <w:num w:numId="22" w16cid:durableId="1002900276">
    <w:abstractNumId w:val="23"/>
  </w:num>
  <w:num w:numId="23" w16cid:durableId="2082168930">
    <w:abstractNumId w:val="2"/>
  </w:num>
  <w:num w:numId="24" w16cid:durableId="1386880348">
    <w:abstractNumId w:val="5"/>
  </w:num>
  <w:num w:numId="25" w16cid:durableId="728067720">
    <w:abstractNumId w:val="26"/>
  </w:num>
  <w:num w:numId="26" w16cid:durableId="1530948367">
    <w:abstractNumId w:val="21"/>
  </w:num>
  <w:num w:numId="27" w16cid:durableId="1068456324">
    <w:abstractNumId w:val="18"/>
  </w:num>
  <w:num w:numId="28" w16cid:durableId="1217207330">
    <w:abstractNumId w:val="24"/>
  </w:num>
  <w:num w:numId="29" w16cid:durableId="696200437">
    <w:abstractNumId w:val="25"/>
  </w:num>
  <w:num w:numId="30" w16cid:durableId="1515531559">
    <w:abstractNumId w:val="29"/>
  </w:num>
  <w:num w:numId="31" w16cid:durableId="2101565186">
    <w:abstractNumId w:val="0"/>
  </w:num>
  <w:num w:numId="32" w16cid:durableId="15129928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ED"/>
    <w:rsid w:val="00002D41"/>
    <w:rsid w:val="000400D5"/>
    <w:rsid w:val="000534AE"/>
    <w:rsid w:val="000545C7"/>
    <w:rsid w:val="00062AD5"/>
    <w:rsid w:val="0006710D"/>
    <w:rsid w:val="00092179"/>
    <w:rsid w:val="00092925"/>
    <w:rsid w:val="000A3C10"/>
    <w:rsid w:val="000B6054"/>
    <w:rsid w:val="00110F86"/>
    <w:rsid w:val="00130920"/>
    <w:rsid w:val="00144D28"/>
    <w:rsid w:val="00150BAE"/>
    <w:rsid w:val="00154262"/>
    <w:rsid w:val="0015722A"/>
    <w:rsid w:val="001B4076"/>
    <w:rsid w:val="001C1498"/>
    <w:rsid w:val="00216F59"/>
    <w:rsid w:val="002177EE"/>
    <w:rsid w:val="00220DC1"/>
    <w:rsid w:val="00227D04"/>
    <w:rsid w:val="002304ED"/>
    <w:rsid w:val="00234590"/>
    <w:rsid w:val="00273F5A"/>
    <w:rsid w:val="00274758"/>
    <w:rsid w:val="00283240"/>
    <w:rsid w:val="002A2C64"/>
    <w:rsid w:val="002F0647"/>
    <w:rsid w:val="002F1DFB"/>
    <w:rsid w:val="003377FA"/>
    <w:rsid w:val="00352137"/>
    <w:rsid w:val="00366E0C"/>
    <w:rsid w:val="0039529E"/>
    <w:rsid w:val="00396293"/>
    <w:rsid w:val="003970C8"/>
    <w:rsid w:val="003A54F3"/>
    <w:rsid w:val="003F0A8B"/>
    <w:rsid w:val="003F1FD2"/>
    <w:rsid w:val="004207E5"/>
    <w:rsid w:val="004305B5"/>
    <w:rsid w:val="004331FA"/>
    <w:rsid w:val="00476F95"/>
    <w:rsid w:val="004820A4"/>
    <w:rsid w:val="004A382E"/>
    <w:rsid w:val="004A5EA0"/>
    <w:rsid w:val="004A64E0"/>
    <w:rsid w:val="004F3449"/>
    <w:rsid w:val="004F6763"/>
    <w:rsid w:val="00506992"/>
    <w:rsid w:val="00510C7C"/>
    <w:rsid w:val="0052458A"/>
    <w:rsid w:val="00555043"/>
    <w:rsid w:val="00597EDA"/>
    <w:rsid w:val="005C3455"/>
    <w:rsid w:val="005D43E8"/>
    <w:rsid w:val="005E2624"/>
    <w:rsid w:val="0060485D"/>
    <w:rsid w:val="00644FD0"/>
    <w:rsid w:val="006667FF"/>
    <w:rsid w:val="006C749A"/>
    <w:rsid w:val="006D16D5"/>
    <w:rsid w:val="006F538D"/>
    <w:rsid w:val="006F61A8"/>
    <w:rsid w:val="0070165C"/>
    <w:rsid w:val="00727F35"/>
    <w:rsid w:val="007335E0"/>
    <w:rsid w:val="00747B02"/>
    <w:rsid w:val="00750F9C"/>
    <w:rsid w:val="00757982"/>
    <w:rsid w:val="00763328"/>
    <w:rsid w:val="00785123"/>
    <w:rsid w:val="007868A3"/>
    <w:rsid w:val="00797842"/>
    <w:rsid w:val="007A0D3E"/>
    <w:rsid w:val="007C0463"/>
    <w:rsid w:val="007C7FBF"/>
    <w:rsid w:val="007E5D0A"/>
    <w:rsid w:val="007F3679"/>
    <w:rsid w:val="00824CA8"/>
    <w:rsid w:val="00827C10"/>
    <w:rsid w:val="00834671"/>
    <w:rsid w:val="008C0224"/>
    <w:rsid w:val="008C40AF"/>
    <w:rsid w:val="008F00A0"/>
    <w:rsid w:val="009068D7"/>
    <w:rsid w:val="009141BE"/>
    <w:rsid w:val="0092734B"/>
    <w:rsid w:val="00932AAD"/>
    <w:rsid w:val="00941CBD"/>
    <w:rsid w:val="009512DD"/>
    <w:rsid w:val="0098372C"/>
    <w:rsid w:val="009A44A7"/>
    <w:rsid w:val="009B2C44"/>
    <w:rsid w:val="009F316F"/>
    <w:rsid w:val="00A11035"/>
    <w:rsid w:val="00A154A1"/>
    <w:rsid w:val="00A201A2"/>
    <w:rsid w:val="00A962DE"/>
    <w:rsid w:val="00B3258B"/>
    <w:rsid w:val="00B42AE1"/>
    <w:rsid w:val="00B5217E"/>
    <w:rsid w:val="00B76EB9"/>
    <w:rsid w:val="00BC2655"/>
    <w:rsid w:val="00BC3558"/>
    <w:rsid w:val="00BE1DFF"/>
    <w:rsid w:val="00C0329B"/>
    <w:rsid w:val="00C36A05"/>
    <w:rsid w:val="00C77A14"/>
    <w:rsid w:val="00CA0D55"/>
    <w:rsid w:val="00CE435A"/>
    <w:rsid w:val="00CE5537"/>
    <w:rsid w:val="00D00AB0"/>
    <w:rsid w:val="00D02FE2"/>
    <w:rsid w:val="00D13275"/>
    <w:rsid w:val="00D13EBB"/>
    <w:rsid w:val="00D15D79"/>
    <w:rsid w:val="00D23DAA"/>
    <w:rsid w:val="00D24C00"/>
    <w:rsid w:val="00D52EC5"/>
    <w:rsid w:val="00DC716C"/>
    <w:rsid w:val="00DD2042"/>
    <w:rsid w:val="00DF39AD"/>
    <w:rsid w:val="00DF653F"/>
    <w:rsid w:val="00E02353"/>
    <w:rsid w:val="00E051EB"/>
    <w:rsid w:val="00E14E9D"/>
    <w:rsid w:val="00E2087B"/>
    <w:rsid w:val="00E24B90"/>
    <w:rsid w:val="00E40080"/>
    <w:rsid w:val="00E45640"/>
    <w:rsid w:val="00E46C5F"/>
    <w:rsid w:val="00E616BB"/>
    <w:rsid w:val="00E815C3"/>
    <w:rsid w:val="00E941A7"/>
    <w:rsid w:val="00EA3040"/>
    <w:rsid w:val="00EB2097"/>
    <w:rsid w:val="00EE1A51"/>
    <w:rsid w:val="00F00BA1"/>
    <w:rsid w:val="00F13BD3"/>
    <w:rsid w:val="00F26669"/>
    <w:rsid w:val="00F76CE6"/>
    <w:rsid w:val="00FA311F"/>
    <w:rsid w:val="0255E62E"/>
    <w:rsid w:val="0445B209"/>
    <w:rsid w:val="044A0FEE"/>
    <w:rsid w:val="083DA041"/>
    <w:rsid w:val="086CCB5F"/>
    <w:rsid w:val="0DFD9381"/>
    <w:rsid w:val="128EE1D2"/>
    <w:rsid w:val="13C0A060"/>
    <w:rsid w:val="15D8F71D"/>
    <w:rsid w:val="15EEF05B"/>
    <w:rsid w:val="197229E8"/>
    <w:rsid w:val="1B181F2C"/>
    <w:rsid w:val="1D0A088B"/>
    <w:rsid w:val="207904E9"/>
    <w:rsid w:val="2097D504"/>
    <w:rsid w:val="20D5AEC5"/>
    <w:rsid w:val="2269D352"/>
    <w:rsid w:val="235A77F0"/>
    <w:rsid w:val="241D5007"/>
    <w:rsid w:val="256DAA16"/>
    <w:rsid w:val="274B5BA4"/>
    <w:rsid w:val="2EC0CB7C"/>
    <w:rsid w:val="30589463"/>
    <w:rsid w:val="315CCAE1"/>
    <w:rsid w:val="44A3FBC8"/>
    <w:rsid w:val="48DED2F8"/>
    <w:rsid w:val="4CBD82D2"/>
    <w:rsid w:val="56CFFC1C"/>
    <w:rsid w:val="5BFA1BC6"/>
    <w:rsid w:val="5FD8FC44"/>
    <w:rsid w:val="60E9DBA7"/>
    <w:rsid w:val="62A5CF67"/>
    <w:rsid w:val="64505549"/>
    <w:rsid w:val="67229887"/>
    <w:rsid w:val="67A41A17"/>
    <w:rsid w:val="697EBA49"/>
    <w:rsid w:val="69BB5BBD"/>
    <w:rsid w:val="6B683222"/>
    <w:rsid w:val="6F4FCDD8"/>
    <w:rsid w:val="70E8FC45"/>
    <w:rsid w:val="71BE4B49"/>
    <w:rsid w:val="739F19E8"/>
    <w:rsid w:val="73EB1A3B"/>
    <w:rsid w:val="757C09D9"/>
    <w:rsid w:val="792804B7"/>
    <w:rsid w:val="79BF3C1D"/>
    <w:rsid w:val="7C5BB9D1"/>
    <w:rsid w:val="7EC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F75E"/>
  <w15:chartTrackingRefBased/>
  <w15:docId w15:val="{9A9323E8-CF3D-450D-A421-FA3466DA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304E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eastAsia="en-US"/>
    </w:rPr>
  </w:style>
  <w:style w:type="paragraph" w:customStyle="1" w:styleId="MediumGrid21">
    <w:name w:val="Medium Grid 21"/>
    <w:uiPriority w:val="1"/>
    <w:qFormat/>
    <w:rsid w:val="006C749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C749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49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1498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34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34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34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34A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1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8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78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1185</Words>
  <Characters>6758</Characters>
  <Application>Microsoft Office Word</Application>
  <DocSecurity>0</DocSecurity>
  <Lines>56</Lines>
  <Paragraphs>15</Paragraphs>
  <ScaleCrop>false</ScaleCrop>
  <Company>UC Health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Danielle</dc:creator>
  <cp:keywords/>
  <cp:lastModifiedBy>Sewani, Salima VHACIN</cp:lastModifiedBy>
  <cp:revision>6</cp:revision>
  <cp:lastPrinted>2018-01-17T15:42:00Z</cp:lastPrinted>
  <dcterms:created xsi:type="dcterms:W3CDTF">2020-08-31T14:45:00Z</dcterms:created>
  <dcterms:modified xsi:type="dcterms:W3CDTF">2024-01-24T20:23:00Z</dcterms:modified>
</cp:coreProperties>
</file>