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2D29" w14:textId="47A4E4D2" w:rsidR="004A64E0" w:rsidRPr="002F3D0D" w:rsidRDefault="004F2B64" w:rsidP="004A64E0">
      <w:pPr>
        <w:spacing w:after="0"/>
        <w:jc w:val="center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drawing>
          <wp:anchor distT="0" distB="0" distL="114300" distR="114300" simplePos="0" relativeHeight="251662848" behindDoc="0" locked="0" layoutInCell="1" allowOverlap="1" wp14:anchorId="6D531BA9" wp14:editId="608CD2D8">
            <wp:simplePos x="0" y="0"/>
            <wp:positionH relativeFrom="column">
              <wp:posOffset>4701011</wp:posOffset>
            </wp:positionH>
            <wp:positionV relativeFrom="paragraph">
              <wp:posOffset>-660902</wp:posOffset>
            </wp:positionV>
            <wp:extent cx="1690363" cy="783134"/>
            <wp:effectExtent l="0" t="0" r="0" b="444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72" cy="79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E0" w:rsidRPr="002F3D0D">
        <w:rPr>
          <w:b/>
          <w:sz w:val="24"/>
          <w:szCs w:val="24"/>
          <w:lang w:val="pt-BR"/>
        </w:rPr>
        <w:t>AHD – Endocarditis</w:t>
      </w:r>
    </w:p>
    <w:p w14:paraId="1801BB38" w14:textId="4C788C22" w:rsidR="003970C8" w:rsidRPr="002F3D0D" w:rsidRDefault="004A64E0" w:rsidP="004A64E0">
      <w:pPr>
        <w:spacing w:after="0"/>
        <w:jc w:val="center"/>
        <w:rPr>
          <w:sz w:val="24"/>
          <w:szCs w:val="24"/>
          <w:lang w:val="pt-BR"/>
        </w:rPr>
      </w:pPr>
      <w:r w:rsidRPr="002F3D0D">
        <w:rPr>
          <w:b/>
          <w:sz w:val="24"/>
          <w:szCs w:val="24"/>
          <w:lang w:val="pt-BR"/>
        </w:rPr>
        <w:t>Facilitator Guide</w:t>
      </w:r>
    </w:p>
    <w:p w14:paraId="672A6659" w14:textId="77777777" w:rsidR="004A64E0" w:rsidRPr="002F3D0D" w:rsidRDefault="004A64E0" w:rsidP="003970C8">
      <w:pPr>
        <w:pStyle w:val="Body"/>
        <w:spacing w:after="0"/>
        <w:rPr>
          <w:b/>
          <w:bCs/>
          <w:iCs/>
          <w:sz w:val="24"/>
          <w:szCs w:val="24"/>
          <w:lang w:val="pt-BR"/>
        </w:rPr>
      </w:pPr>
    </w:p>
    <w:p w14:paraId="4F16FDF9" w14:textId="77777777" w:rsidR="002304ED" w:rsidRPr="002F3D0D" w:rsidRDefault="002304ED" w:rsidP="003970C8">
      <w:pPr>
        <w:pStyle w:val="Body"/>
        <w:spacing w:after="0"/>
        <w:rPr>
          <w:b/>
          <w:bCs/>
          <w:iCs/>
          <w:lang w:val="pt-BR"/>
        </w:rPr>
      </w:pPr>
      <w:r w:rsidRPr="002F3D0D">
        <w:rPr>
          <w:b/>
          <w:bCs/>
          <w:iCs/>
          <w:lang w:val="pt-BR"/>
        </w:rPr>
        <w:t>Agenda:</w:t>
      </w:r>
    </w:p>
    <w:p w14:paraId="14C1FC7A" w14:textId="37416447" w:rsidR="00AA4CE5" w:rsidRPr="00062AD5" w:rsidRDefault="0073683C" w:rsidP="00AA4CE5">
      <w:pPr>
        <w:pStyle w:val="Body"/>
        <w:spacing w:after="0"/>
        <w:rPr>
          <w:bCs/>
          <w:iCs/>
        </w:rPr>
      </w:pPr>
      <w:r>
        <w:t>1:0</w:t>
      </w:r>
      <w:r w:rsidR="002F3D0D">
        <w:t>5</w:t>
      </w:r>
      <w:r>
        <w:t>-1:</w:t>
      </w:r>
      <w:r w:rsidR="002F3D0D">
        <w:t>2</w:t>
      </w:r>
      <w:r>
        <w:t xml:space="preserve">0 PM </w:t>
      </w:r>
      <w:r w:rsidR="002F3D0D">
        <w:t>Theory Burst</w:t>
      </w:r>
    </w:p>
    <w:p w14:paraId="3ACF7535" w14:textId="0F35C9AD" w:rsidR="00AA4CE5" w:rsidRPr="00062AD5" w:rsidRDefault="00AA4CE5" w:rsidP="00AA4CE5">
      <w:pPr>
        <w:pStyle w:val="Body"/>
        <w:spacing w:after="0"/>
        <w:rPr>
          <w:bCs/>
          <w:iCs/>
        </w:rPr>
      </w:pPr>
      <w:r>
        <w:t>1:</w:t>
      </w:r>
      <w:r w:rsidR="002F3D0D">
        <w:t>2</w:t>
      </w:r>
      <w:r>
        <w:t>0-</w:t>
      </w:r>
      <w:r w:rsidR="002F3D0D">
        <w:t>2:15</w:t>
      </w:r>
      <w:r>
        <w:t xml:space="preserve"> PM </w:t>
      </w:r>
      <w:r w:rsidR="002F3D0D">
        <w:t>Small groups</w:t>
      </w:r>
    </w:p>
    <w:p w14:paraId="57E82B34" w14:textId="5AFEF2EF" w:rsidR="00AA4CE5" w:rsidRPr="00062AD5" w:rsidRDefault="002F3D0D" w:rsidP="00AA4CE5">
      <w:pPr>
        <w:pStyle w:val="Body"/>
        <w:spacing w:after="0"/>
      </w:pPr>
      <w:r>
        <w:t xml:space="preserve">2:15 </w:t>
      </w:r>
      <w:r w:rsidR="00AA4CE5">
        <w:t>-2:</w:t>
      </w:r>
      <w:r w:rsidR="4D6760C1">
        <w:t>30</w:t>
      </w:r>
      <w:r w:rsidR="00AA4CE5">
        <w:t xml:space="preserve"> PM </w:t>
      </w:r>
      <w:r w:rsidR="3EC400AA">
        <w:t xml:space="preserve">Questions for </w:t>
      </w:r>
      <w:r>
        <w:t>the Expert</w:t>
      </w:r>
    </w:p>
    <w:p w14:paraId="45046504" w14:textId="6ED90024" w:rsidR="00AA4CE5" w:rsidRPr="00062AD5" w:rsidRDefault="00AA4CE5" w:rsidP="00AA4CE5">
      <w:pPr>
        <w:pStyle w:val="Body"/>
        <w:spacing w:after="0"/>
        <w:rPr>
          <w:bCs/>
          <w:iCs/>
        </w:rPr>
      </w:pPr>
      <w:r>
        <w:t>2:</w:t>
      </w:r>
      <w:r w:rsidR="3B126CD4">
        <w:t>30</w:t>
      </w:r>
      <w:r>
        <w:t>-2:</w:t>
      </w:r>
      <w:r w:rsidR="588703B5">
        <w:t>4</w:t>
      </w:r>
      <w:r>
        <w:t>0 PM Break</w:t>
      </w:r>
    </w:p>
    <w:p w14:paraId="584A4466" w14:textId="57002CC6" w:rsidR="00AA4CE5" w:rsidRPr="00062AD5" w:rsidRDefault="00AA4CE5" w:rsidP="00AA4CE5">
      <w:pPr>
        <w:pStyle w:val="Body"/>
        <w:spacing w:after="0"/>
        <w:rPr>
          <w:bCs/>
          <w:iCs/>
        </w:rPr>
      </w:pPr>
      <w:r>
        <w:t>2:</w:t>
      </w:r>
      <w:r w:rsidR="157F1DD5">
        <w:t>4</w:t>
      </w:r>
      <w:r>
        <w:t>0-3:</w:t>
      </w:r>
      <w:r w:rsidR="5060C945">
        <w:t>2</w:t>
      </w:r>
      <w:r w:rsidR="002F3D0D">
        <w:t>0</w:t>
      </w:r>
      <w:r>
        <w:t xml:space="preserve"> PM Small groups</w:t>
      </w:r>
    </w:p>
    <w:p w14:paraId="56E83630" w14:textId="1C1D180D" w:rsidR="00AA4CE5" w:rsidRDefault="00AA4CE5" w:rsidP="00AA4CE5">
      <w:pPr>
        <w:pStyle w:val="Body"/>
        <w:spacing w:after="0"/>
      </w:pPr>
      <w:r>
        <w:t>3:</w:t>
      </w:r>
      <w:r w:rsidR="4D96627D">
        <w:t>2</w:t>
      </w:r>
      <w:r w:rsidR="002F3D0D">
        <w:t>0</w:t>
      </w:r>
      <w:r>
        <w:t xml:space="preserve">-3:30 PM Questions </w:t>
      </w:r>
      <w:r w:rsidR="46696595">
        <w:t>for the expert</w:t>
      </w:r>
    </w:p>
    <w:p w14:paraId="233060E6" w14:textId="1202178C" w:rsidR="006262B4" w:rsidRDefault="006262B4" w:rsidP="00AA4CE5">
      <w:pPr>
        <w:pStyle w:val="Body"/>
        <w:spacing w:after="0"/>
      </w:pPr>
    </w:p>
    <w:p w14:paraId="4E7B31E5" w14:textId="77777777" w:rsidR="006262B4" w:rsidRDefault="006262B4" w:rsidP="006262B4">
      <w:pPr>
        <w:pStyle w:val="Body"/>
        <w:spacing w:after="0"/>
        <w:rPr>
          <w:b/>
          <w:bCs/>
          <w:iCs/>
        </w:rPr>
      </w:pPr>
      <w:r>
        <w:rPr>
          <w:b/>
          <w:bCs/>
          <w:iCs/>
        </w:rPr>
        <w:t>Learning objectives:</w:t>
      </w:r>
    </w:p>
    <w:p w14:paraId="6736049E" w14:textId="77777777" w:rsidR="006262B4" w:rsidRPr="00EB2097" w:rsidRDefault="006262B4" w:rsidP="006262B4">
      <w:pPr>
        <w:pStyle w:val="Body"/>
        <w:numPr>
          <w:ilvl w:val="0"/>
          <w:numId w:val="36"/>
        </w:numPr>
        <w:spacing w:after="0"/>
        <w:rPr>
          <w:bCs/>
          <w:iCs/>
        </w:rPr>
      </w:pPr>
      <w:r w:rsidRPr="00EB2097">
        <w:rPr>
          <w:bCs/>
          <w:iCs/>
        </w:rPr>
        <w:t xml:space="preserve">Identify at risk populations for endocarditis and explain why this risk is increased. </w:t>
      </w:r>
    </w:p>
    <w:p w14:paraId="1E5C06DB" w14:textId="77777777" w:rsidR="006262B4" w:rsidRPr="00EB2097" w:rsidRDefault="006262B4" w:rsidP="006262B4">
      <w:pPr>
        <w:pStyle w:val="Body"/>
        <w:numPr>
          <w:ilvl w:val="0"/>
          <w:numId w:val="36"/>
        </w:numPr>
        <w:spacing w:after="0"/>
        <w:rPr>
          <w:bCs/>
          <w:iCs/>
        </w:rPr>
      </w:pPr>
      <w:r w:rsidRPr="00EB2097">
        <w:rPr>
          <w:bCs/>
          <w:iCs/>
        </w:rPr>
        <w:t>Initiate appropriate work-up for suspected endocarditis</w:t>
      </w:r>
      <w:r>
        <w:rPr>
          <w:bCs/>
          <w:iCs/>
        </w:rPr>
        <w:t xml:space="preserve"> based on history and physical examination. </w:t>
      </w:r>
    </w:p>
    <w:p w14:paraId="4B7FB0C9" w14:textId="77777777" w:rsidR="006262B4" w:rsidRPr="00EB2097" w:rsidRDefault="006262B4" w:rsidP="006262B4">
      <w:pPr>
        <w:pStyle w:val="Body"/>
        <w:numPr>
          <w:ilvl w:val="0"/>
          <w:numId w:val="36"/>
        </w:numPr>
        <w:spacing w:after="0"/>
        <w:rPr>
          <w:bCs/>
          <w:iCs/>
        </w:rPr>
      </w:pPr>
      <w:r w:rsidRPr="00EB2097">
        <w:rPr>
          <w:bCs/>
          <w:iCs/>
        </w:rPr>
        <w:t>Recognize patients who require surgical intervention for infective endocarditis</w:t>
      </w:r>
      <w:r>
        <w:rPr>
          <w:bCs/>
          <w:iCs/>
        </w:rPr>
        <w:t>.</w:t>
      </w:r>
    </w:p>
    <w:p w14:paraId="754E0DFA" w14:textId="30B38CCE" w:rsidR="006262B4" w:rsidRPr="003B7A57" w:rsidRDefault="006262B4" w:rsidP="003B7A57">
      <w:pPr>
        <w:pStyle w:val="Body"/>
        <w:numPr>
          <w:ilvl w:val="0"/>
          <w:numId w:val="36"/>
        </w:numPr>
        <w:spacing w:after="0"/>
        <w:rPr>
          <w:bCs/>
          <w:iCs/>
        </w:rPr>
      </w:pPr>
      <w:r w:rsidRPr="00EB2097">
        <w:rPr>
          <w:bCs/>
          <w:iCs/>
        </w:rPr>
        <w:t>Prescribe appropriate prophylaxis for medical procedures for patients at increased risk of infective endocarditis.</w:t>
      </w:r>
    </w:p>
    <w:p w14:paraId="0A37501D" w14:textId="77777777" w:rsidR="0039529E" w:rsidRPr="00062AD5" w:rsidRDefault="0039529E" w:rsidP="003970C8">
      <w:pPr>
        <w:pStyle w:val="Body"/>
        <w:spacing w:after="0"/>
        <w:rPr>
          <w:bCs/>
          <w:iCs/>
        </w:rPr>
      </w:pPr>
    </w:p>
    <w:p w14:paraId="244AA492" w14:textId="7878B0B9" w:rsidR="002304ED" w:rsidRPr="00062AD5" w:rsidRDefault="002304ED" w:rsidP="003970C8">
      <w:pPr>
        <w:pStyle w:val="Body"/>
        <w:spacing w:after="0"/>
      </w:pPr>
      <w:r w:rsidRPr="07C25BCD">
        <w:rPr>
          <w:b/>
          <w:bCs/>
        </w:rPr>
        <w:t>Case 1:</w:t>
      </w:r>
      <w:r w:rsidR="001C1498">
        <w:t xml:space="preserve"> </w:t>
      </w:r>
      <w:r w:rsidR="0022440A">
        <w:t xml:space="preserve">Mr. Stephan </w:t>
      </w:r>
      <w:proofErr w:type="spellStart"/>
      <w:r w:rsidR="0022440A">
        <w:t>Bovis</w:t>
      </w:r>
      <w:proofErr w:type="spellEnd"/>
      <w:r w:rsidR="0022440A">
        <w:t xml:space="preserve"> is a </w:t>
      </w:r>
      <w:r w:rsidR="001C1498">
        <w:t>48-</w:t>
      </w:r>
      <w:r w:rsidR="008C0224">
        <w:t>y</w:t>
      </w:r>
      <w:r w:rsidR="001C1498">
        <w:t>ear-old</w:t>
      </w:r>
      <w:r w:rsidR="008C0224">
        <w:t xml:space="preserve"> male with h/o IVDU</w:t>
      </w:r>
      <w:r w:rsidR="003377FA">
        <w:t xml:space="preserve"> </w:t>
      </w:r>
      <w:r w:rsidR="5E859FE2">
        <w:t xml:space="preserve">who </w:t>
      </w:r>
      <w:r w:rsidR="003377FA">
        <w:t xml:space="preserve">presents </w:t>
      </w:r>
      <w:r w:rsidR="001B4076">
        <w:t xml:space="preserve">with </w:t>
      </w:r>
      <w:r w:rsidR="009D6BDF">
        <w:t>“</w:t>
      </w:r>
      <w:r w:rsidR="00591842">
        <w:t>passing out</w:t>
      </w:r>
      <w:r w:rsidR="009D6BDF">
        <w:t>”</w:t>
      </w:r>
      <w:r w:rsidR="003377FA">
        <w:t xml:space="preserve">.  He </w:t>
      </w:r>
      <w:r w:rsidR="001B4076">
        <w:t xml:space="preserve">was watching TV when he </w:t>
      </w:r>
      <w:r w:rsidR="009D6BDF">
        <w:t>lost consciousness</w:t>
      </w:r>
      <w:r w:rsidR="001B4076">
        <w:t xml:space="preserve">.  </w:t>
      </w:r>
      <w:r w:rsidR="6DF3B63E">
        <w:t xml:space="preserve">No </w:t>
      </w:r>
      <w:r w:rsidR="001B4076">
        <w:t xml:space="preserve">symptoms prior to </w:t>
      </w:r>
      <w:r w:rsidR="1716E3C1">
        <w:t xml:space="preserve">this </w:t>
      </w:r>
      <w:r w:rsidR="001B4076">
        <w:t>episode and</w:t>
      </w:r>
      <w:r w:rsidR="4A0A6903">
        <w:t xml:space="preserve"> this</w:t>
      </w:r>
      <w:r w:rsidR="001B4076">
        <w:t xml:space="preserve"> has never happened before.  He </w:t>
      </w:r>
      <w:r w:rsidR="451CB64A">
        <w:t>has</w:t>
      </w:r>
      <w:r w:rsidR="001B4076">
        <w:t xml:space="preserve"> </w:t>
      </w:r>
      <w:r w:rsidR="00757982">
        <w:t>mild SOB for last week</w:t>
      </w:r>
      <w:r w:rsidR="001B4076">
        <w:t>.  SOB</w:t>
      </w:r>
      <w:r w:rsidR="2703AF1E">
        <w:t xml:space="preserve"> </w:t>
      </w:r>
      <w:proofErr w:type="gramStart"/>
      <w:r w:rsidR="2703AF1E">
        <w:t>is</w:t>
      </w:r>
      <w:r w:rsidR="001B4076">
        <w:t xml:space="preserve"> present at all times</w:t>
      </w:r>
      <w:proofErr w:type="gramEnd"/>
      <w:r w:rsidR="001B4076">
        <w:t xml:space="preserve"> but worse with exertion.  </w:t>
      </w:r>
      <w:r w:rsidR="2C66E7CD">
        <w:t>He has also</w:t>
      </w:r>
      <w:r w:rsidR="001B4076">
        <w:t xml:space="preserve"> noticed 3 weeks of increased</w:t>
      </w:r>
      <w:r w:rsidR="003377FA">
        <w:t xml:space="preserve"> </w:t>
      </w:r>
      <w:r w:rsidR="001B4076">
        <w:t xml:space="preserve">fatigue, intermittent fevers, and chills. </w:t>
      </w:r>
      <w:r w:rsidR="00C77A14">
        <w:t xml:space="preserve"> </w:t>
      </w:r>
    </w:p>
    <w:p w14:paraId="0C286314" w14:textId="55351497" w:rsidR="002304ED" w:rsidRPr="00062AD5" w:rsidRDefault="002304ED" w:rsidP="003970C8">
      <w:pPr>
        <w:pStyle w:val="Body"/>
        <w:spacing w:after="0"/>
      </w:pPr>
    </w:p>
    <w:p w14:paraId="7ECCC4E6" w14:textId="0C741805" w:rsidR="002304ED" w:rsidRPr="00062AD5" w:rsidRDefault="6A205BB3" w:rsidP="003970C8">
      <w:pPr>
        <w:pStyle w:val="Body"/>
        <w:spacing w:after="0"/>
      </w:pPr>
      <w:r>
        <w:t>PMH: No known PMH</w:t>
      </w:r>
    </w:p>
    <w:p w14:paraId="68AB506B" w14:textId="3410480E" w:rsidR="002304ED" w:rsidRPr="00062AD5" w:rsidRDefault="6A205BB3" w:rsidP="003970C8">
      <w:pPr>
        <w:pStyle w:val="Body"/>
        <w:spacing w:after="0"/>
      </w:pPr>
      <w:r>
        <w:t xml:space="preserve">Medications: PRN </w:t>
      </w:r>
      <w:proofErr w:type="spellStart"/>
      <w:r>
        <w:t>tylenol</w:t>
      </w:r>
      <w:proofErr w:type="spellEnd"/>
    </w:p>
    <w:p w14:paraId="6FAAA538" w14:textId="18F72B8D" w:rsidR="002304ED" w:rsidRPr="00062AD5" w:rsidRDefault="6A205BB3" w:rsidP="7DBA3D05">
      <w:pPr>
        <w:pStyle w:val="Body"/>
        <w:spacing w:after="0"/>
      </w:pPr>
      <w:r>
        <w:t xml:space="preserve">Social: Occasional alcohol consumption, </w:t>
      </w:r>
      <w:r w:rsidR="001B4076">
        <w:t xml:space="preserve">smokes 1 </w:t>
      </w:r>
      <w:proofErr w:type="spellStart"/>
      <w:r w:rsidR="001B4076">
        <w:t>ppd</w:t>
      </w:r>
      <w:proofErr w:type="spellEnd"/>
      <w:r w:rsidR="4972CE4C">
        <w:t xml:space="preserve">, </w:t>
      </w:r>
      <w:r w:rsidR="57CC4754">
        <w:t>uses IV heroin</w:t>
      </w:r>
      <w:r w:rsidR="4972CE4C">
        <w:t xml:space="preserve">. Last use 2 days ago. </w:t>
      </w:r>
    </w:p>
    <w:p w14:paraId="55CF7E51" w14:textId="3F975C98" w:rsidR="4972CE4C" w:rsidRDefault="4972CE4C" w:rsidP="7DBA3D05">
      <w:pPr>
        <w:pStyle w:val="Body"/>
        <w:spacing w:after="0"/>
      </w:pPr>
      <w:r>
        <w:t xml:space="preserve">Recent injection sites: foot </w:t>
      </w:r>
    </w:p>
    <w:p w14:paraId="5DAB6C7B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</w:p>
    <w:p w14:paraId="5E211DD1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Physical Exam:</w:t>
      </w:r>
    </w:p>
    <w:p w14:paraId="49F346C0" w14:textId="732D7966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Vitals: T 101, BP 95/45, HR 105, RR</w:t>
      </w:r>
      <w:r w:rsidR="00092179" w:rsidRPr="00062AD5">
        <w:rPr>
          <w:bCs/>
          <w:iCs/>
        </w:rPr>
        <w:t xml:space="preserve"> 20, 98</w:t>
      </w:r>
      <w:r w:rsidRPr="00062AD5">
        <w:rPr>
          <w:bCs/>
          <w:iCs/>
        </w:rPr>
        <w:t>% RA</w:t>
      </w:r>
    </w:p>
    <w:p w14:paraId="2C259D5E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Gen: Diaphoretic, mild discomfort</w:t>
      </w:r>
    </w:p>
    <w:p w14:paraId="08275A47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HEENT: PE</w:t>
      </w:r>
      <w:r w:rsidR="001C1498" w:rsidRPr="00062AD5">
        <w:rPr>
          <w:bCs/>
          <w:iCs/>
        </w:rPr>
        <w:t>RRL</w:t>
      </w:r>
      <w:r w:rsidRPr="00062AD5">
        <w:rPr>
          <w:bCs/>
          <w:iCs/>
        </w:rPr>
        <w:t>, normal conjunctivae, MMM, multiple dental caries</w:t>
      </w:r>
    </w:p>
    <w:p w14:paraId="551DEECD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CV: Tachycardic, regular r</w:t>
      </w:r>
      <w:r w:rsidR="004820A4" w:rsidRPr="00062AD5">
        <w:rPr>
          <w:bCs/>
          <w:iCs/>
        </w:rPr>
        <w:t xml:space="preserve">hythm, </w:t>
      </w:r>
      <w:proofErr w:type="spellStart"/>
      <w:r w:rsidR="004820A4" w:rsidRPr="00062AD5">
        <w:rPr>
          <w:bCs/>
          <w:iCs/>
        </w:rPr>
        <w:t>nl</w:t>
      </w:r>
      <w:proofErr w:type="spellEnd"/>
      <w:r w:rsidR="004820A4" w:rsidRPr="00062AD5">
        <w:rPr>
          <w:bCs/>
          <w:iCs/>
        </w:rPr>
        <w:t xml:space="preserve"> S1/S2, no </w:t>
      </w:r>
      <w:r w:rsidRPr="00062AD5">
        <w:rPr>
          <w:bCs/>
          <w:iCs/>
        </w:rPr>
        <w:t xml:space="preserve">murmur </w:t>
      </w:r>
      <w:r w:rsidR="004820A4" w:rsidRPr="00062AD5">
        <w:rPr>
          <w:bCs/>
          <w:iCs/>
        </w:rPr>
        <w:t xml:space="preserve">appreciated, no JVD, no </w:t>
      </w:r>
      <w:proofErr w:type="gramStart"/>
      <w:r w:rsidR="004820A4" w:rsidRPr="00062AD5">
        <w:rPr>
          <w:bCs/>
          <w:iCs/>
        </w:rPr>
        <w:t>edema</w:t>
      </w:r>
      <w:proofErr w:type="gramEnd"/>
    </w:p>
    <w:p w14:paraId="52A46633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 xml:space="preserve">Resp: </w:t>
      </w:r>
      <w:r w:rsidR="00092179" w:rsidRPr="00062AD5">
        <w:rPr>
          <w:bCs/>
          <w:iCs/>
        </w:rPr>
        <w:t>CTAB</w:t>
      </w:r>
      <w:r w:rsidRPr="00062AD5">
        <w:rPr>
          <w:bCs/>
          <w:iCs/>
        </w:rPr>
        <w:t xml:space="preserve"> </w:t>
      </w:r>
    </w:p>
    <w:p w14:paraId="13AECB75" w14:textId="77777777" w:rsidR="007C0463" w:rsidRPr="00062AD5" w:rsidRDefault="007C0463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Abd: Soft, NT/ND, +BS</w:t>
      </w:r>
    </w:p>
    <w:p w14:paraId="4D2F0EB1" w14:textId="0937F621" w:rsidR="007C0463" w:rsidRDefault="007C0463" w:rsidP="003970C8">
      <w:pPr>
        <w:pStyle w:val="Body"/>
        <w:spacing w:after="0"/>
      </w:pPr>
      <w:r>
        <w:t xml:space="preserve">Skin: Track marks present </w:t>
      </w:r>
      <w:r w:rsidR="27103F2E">
        <w:t>on bilateral forearms, no erythema or t</w:t>
      </w:r>
      <w:r w:rsidR="008402C5">
        <w:t xml:space="preserve">enderness </w:t>
      </w:r>
      <w:r w:rsidR="27103F2E">
        <w:t>of feet at recent injection sites</w:t>
      </w:r>
    </w:p>
    <w:p w14:paraId="6A05A809" w14:textId="77777777" w:rsidR="00C77A14" w:rsidRPr="00062AD5" w:rsidRDefault="00C77A14" w:rsidP="003970C8">
      <w:pPr>
        <w:pStyle w:val="Body"/>
        <w:spacing w:after="0"/>
        <w:rPr>
          <w:bCs/>
          <w:iCs/>
        </w:rPr>
      </w:pPr>
    </w:p>
    <w:p w14:paraId="5A39BBE3" w14:textId="742BB037" w:rsidR="009D6BDF" w:rsidRPr="003B7A57" w:rsidRDefault="009D6BDF" w:rsidP="7DBA3D05">
      <w:pPr>
        <w:pStyle w:val="Body"/>
        <w:spacing w:after="0"/>
        <w:rPr>
          <w:b/>
          <w:bCs/>
        </w:rPr>
      </w:pPr>
      <w:r w:rsidRPr="7DBA3D05">
        <w:rPr>
          <w:b/>
          <w:bCs/>
        </w:rPr>
        <w:t xml:space="preserve">1.   What is syncope and how might this patient have </w:t>
      </w:r>
      <w:proofErr w:type="spellStart"/>
      <w:r w:rsidRPr="7DBA3D05">
        <w:rPr>
          <w:b/>
          <w:bCs/>
        </w:rPr>
        <w:t>syncopized</w:t>
      </w:r>
      <w:proofErr w:type="spellEnd"/>
      <w:r w:rsidRPr="7DBA3D05">
        <w:rPr>
          <w:b/>
          <w:bCs/>
        </w:rPr>
        <w:t xml:space="preserve">? </w:t>
      </w:r>
      <w:r w:rsidR="53059355" w:rsidRPr="7DBA3D05">
        <w:rPr>
          <w:b/>
          <w:bCs/>
        </w:rPr>
        <w:t xml:space="preserve">What is </w:t>
      </w:r>
      <w:r w:rsidRPr="7DBA3D05">
        <w:rPr>
          <w:b/>
          <w:bCs/>
        </w:rPr>
        <w:t xml:space="preserve">your differential diagnosis?  </w:t>
      </w:r>
    </w:p>
    <w:p w14:paraId="15BDF7C3" w14:textId="236F2D01" w:rsidR="009D6BDF" w:rsidRPr="00062AD5" w:rsidRDefault="009D6BDF" w:rsidP="003B7A57">
      <w:pPr>
        <w:pStyle w:val="Body"/>
        <w:numPr>
          <w:ilvl w:val="0"/>
          <w:numId w:val="12"/>
        </w:numPr>
        <w:spacing w:after="0"/>
        <w:ind w:left="360"/>
      </w:pPr>
      <w:r w:rsidRPr="57FA4B68">
        <w:rPr>
          <w:b/>
          <w:bCs/>
        </w:rPr>
        <w:t xml:space="preserve">Syncope </w:t>
      </w:r>
      <w:proofErr w:type="gramStart"/>
      <w:r w:rsidRPr="57FA4B68">
        <w:rPr>
          <w:b/>
          <w:bCs/>
        </w:rPr>
        <w:t>=  transient</w:t>
      </w:r>
      <w:proofErr w:type="gramEnd"/>
      <w:r w:rsidRPr="57FA4B68">
        <w:rPr>
          <w:b/>
          <w:bCs/>
        </w:rPr>
        <w:t xml:space="preserve"> global cerebral hypoperfusion</w:t>
      </w:r>
      <w:r w:rsidR="081658D7" w:rsidRPr="57FA4B68">
        <w:rPr>
          <w:b/>
          <w:bCs/>
        </w:rPr>
        <w:t xml:space="preserve"> </w:t>
      </w:r>
    </w:p>
    <w:p w14:paraId="227291FF" w14:textId="77777777" w:rsidR="009D6BDF" w:rsidRDefault="009D6BDF" w:rsidP="003B7A57">
      <w:pPr>
        <w:pStyle w:val="Body"/>
        <w:numPr>
          <w:ilvl w:val="1"/>
          <w:numId w:val="12"/>
        </w:numPr>
        <w:spacing w:after="0"/>
        <w:ind w:left="1080"/>
        <w:rPr>
          <w:bCs/>
          <w:iCs/>
        </w:rPr>
      </w:pPr>
      <w:r>
        <w:rPr>
          <w:bCs/>
          <w:iCs/>
        </w:rPr>
        <w:t>Types: reflex, orthostatic, cardiogenic</w:t>
      </w:r>
    </w:p>
    <w:p w14:paraId="384D60C0" w14:textId="77777777" w:rsidR="00100087" w:rsidRDefault="00100087" w:rsidP="003B7A57">
      <w:pPr>
        <w:pStyle w:val="Body"/>
        <w:numPr>
          <w:ilvl w:val="2"/>
          <w:numId w:val="12"/>
        </w:numPr>
        <w:spacing w:after="0"/>
        <w:ind w:left="1800"/>
        <w:rPr>
          <w:bCs/>
          <w:iCs/>
        </w:rPr>
      </w:pPr>
      <w:r>
        <w:rPr>
          <w:bCs/>
          <w:iCs/>
        </w:rPr>
        <w:t>Reflex: no prodrome</w:t>
      </w:r>
    </w:p>
    <w:p w14:paraId="011A9B07" w14:textId="7D25C399" w:rsidR="00100087" w:rsidRDefault="00100087" w:rsidP="003B7A57">
      <w:pPr>
        <w:pStyle w:val="Body"/>
        <w:numPr>
          <w:ilvl w:val="2"/>
          <w:numId w:val="12"/>
        </w:numPr>
        <w:spacing w:after="0"/>
        <w:ind w:left="1800"/>
      </w:pPr>
      <w:r>
        <w:lastRenderedPageBreak/>
        <w:t xml:space="preserve">Orthostats: </w:t>
      </w:r>
      <w:r w:rsidR="63371EF2">
        <w:t xml:space="preserve">orthostats negative in this patient </w:t>
      </w:r>
    </w:p>
    <w:p w14:paraId="64032328" w14:textId="615F4A1B" w:rsidR="00100087" w:rsidRDefault="00100087" w:rsidP="07C25BCD">
      <w:pPr>
        <w:pStyle w:val="Body"/>
        <w:numPr>
          <w:ilvl w:val="2"/>
          <w:numId w:val="12"/>
        </w:numPr>
        <w:spacing w:after="0"/>
        <w:ind w:left="1800"/>
      </w:pPr>
      <w:r>
        <w:t xml:space="preserve">Cardiogenic: </w:t>
      </w:r>
      <w:r w:rsidR="0004CA5E">
        <w:t xml:space="preserve">most concerning in this patient </w:t>
      </w:r>
    </w:p>
    <w:p w14:paraId="1277C570" w14:textId="77777777" w:rsidR="003B7A57" w:rsidRDefault="003B7A57" w:rsidP="003B7A57">
      <w:pPr>
        <w:pStyle w:val="Body"/>
        <w:spacing w:after="0"/>
        <w:ind w:left="-1080"/>
        <w:rPr>
          <w:bCs/>
          <w:iCs/>
        </w:rPr>
      </w:pPr>
    </w:p>
    <w:p w14:paraId="370C5173" w14:textId="77777777" w:rsidR="009D6BDF" w:rsidRPr="00062AD5" w:rsidRDefault="009D6BDF" w:rsidP="003B7A57">
      <w:pPr>
        <w:pStyle w:val="Body"/>
        <w:numPr>
          <w:ilvl w:val="1"/>
          <w:numId w:val="12"/>
        </w:numPr>
        <w:spacing w:after="0"/>
        <w:ind w:left="1080"/>
        <w:rPr>
          <w:bCs/>
          <w:iCs/>
        </w:rPr>
      </w:pPr>
      <w:r w:rsidRPr="00062AD5">
        <w:rPr>
          <w:bCs/>
          <w:iCs/>
        </w:rPr>
        <w:t>Cardiogenic</w:t>
      </w:r>
    </w:p>
    <w:p w14:paraId="38DD4F02" w14:textId="77777777" w:rsidR="00100087" w:rsidRDefault="00100087" w:rsidP="003B7A57">
      <w:pPr>
        <w:pStyle w:val="Body"/>
        <w:numPr>
          <w:ilvl w:val="2"/>
          <w:numId w:val="12"/>
        </w:numPr>
        <w:spacing w:after="0"/>
        <w:ind w:left="1800"/>
        <w:rPr>
          <w:bCs/>
          <w:iCs/>
        </w:rPr>
      </w:pPr>
      <w:r>
        <w:rPr>
          <w:bCs/>
          <w:iCs/>
        </w:rPr>
        <w:t xml:space="preserve">Structural: </w:t>
      </w:r>
    </w:p>
    <w:p w14:paraId="696293A9" w14:textId="77777777" w:rsidR="009D6BDF" w:rsidRDefault="009D6BDF" w:rsidP="003B7A57">
      <w:pPr>
        <w:pStyle w:val="Body"/>
        <w:numPr>
          <w:ilvl w:val="3"/>
          <w:numId w:val="12"/>
        </w:numPr>
        <w:spacing w:after="0"/>
        <w:ind w:left="2520"/>
        <w:rPr>
          <w:bCs/>
          <w:iCs/>
        </w:rPr>
      </w:pPr>
      <w:r w:rsidRPr="00062AD5">
        <w:rPr>
          <w:bCs/>
          <w:iCs/>
        </w:rPr>
        <w:t>Valvular</w:t>
      </w:r>
    </w:p>
    <w:p w14:paraId="3EF56DA0" w14:textId="7904265D" w:rsidR="009D6BDF" w:rsidRDefault="65B5245F" w:rsidP="003B7A57">
      <w:pPr>
        <w:pStyle w:val="Body"/>
        <w:numPr>
          <w:ilvl w:val="4"/>
          <w:numId w:val="12"/>
        </w:numPr>
        <w:spacing w:after="0"/>
        <w:ind w:left="3240"/>
      </w:pPr>
      <w:r>
        <w:t>Typically,</w:t>
      </w:r>
      <w:r w:rsidR="009D6BDF">
        <w:t xml:space="preserve"> AS if syncopal presentation </w:t>
      </w:r>
    </w:p>
    <w:p w14:paraId="4EFA0365" w14:textId="77777777" w:rsidR="009D6BDF" w:rsidRPr="00062AD5" w:rsidRDefault="009D6BDF" w:rsidP="003B7A57">
      <w:pPr>
        <w:pStyle w:val="Body"/>
        <w:spacing w:after="0"/>
        <w:ind w:left="2520" w:firstLine="360"/>
        <w:rPr>
          <w:bCs/>
          <w:iCs/>
        </w:rPr>
      </w:pPr>
      <w:r>
        <w:rPr>
          <w:bCs/>
          <w:iCs/>
        </w:rPr>
        <w:t>Valves with IE:</w:t>
      </w:r>
    </w:p>
    <w:p w14:paraId="41369F77" w14:textId="77777777" w:rsidR="009D6BDF" w:rsidRPr="00062AD5" w:rsidRDefault="009D6BDF" w:rsidP="003B7A57">
      <w:pPr>
        <w:pStyle w:val="Body"/>
        <w:numPr>
          <w:ilvl w:val="4"/>
          <w:numId w:val="12"/>
        </w:numPr>
        <w:spacing w:after="0"/>
        <w:ind w:left="3240"/>
        <w:rPr>
          <w:bCs/>
          <w:iCs/>
        </w:rPr>
      </w:pPr>
      <w:r w:rsidRPr="00062AD5">
        <w:rPr>
          <w:bCs/>
          <w:iCs/>
        </w:rPr>
        <w:t>AR or MR (usually doesn’</w:t>
      </w:r>
      <w:r>
        <w:rPr>
          <w:bCs/>
          <w:iCs/>
        </w:rPr>
        <w:t>t cause syncope</w:t>
      </w:r>
      <w:r w:rsidRPr="00062AD5">
        <w:rPr>
          <w:bCs/>
          <w:iCs/>
        </w:rPr>
        <w:t>)</w:t>
      </w:r>
    </w:p>
    <w:p w14:paraId="4295E8AA" w14:textId="3326F4E6" w:rsidR="009D6BDF" w:rsidRPr="00062AD5" w:rsidRDefault="009D6BDF" w:rsidP="003B7A57">
      <w:pPr>
        <w:pStyle w:val="Body"/>
        <w:numPr>
          <w:ilvl w:val="4"/>
          <w:numId w:val="12"/>
        </w:numPr>
        <w:spacing w:after="0"/>
        <w:ind w:left="3240"/>
      </w:pPr>
      <w:r>
        <w:t>TR, assoc</w:t>
      </w:r>
      <w:r w:rsidR="1DF3732D">
        <w:t xml:space="preserve">iated </w:t>
      </w:r>
      <w:r>
        <w:t>with IVDU (usually doesn’t cause syncope)</w:t>
      </w:r>
    </w:p>
    <w:p w14:paraId="05632956" w14:textId="77777777" w:rsidR="00100087" w:rsidRDefault="009D6BDF" w:rsidP="003B7A57">
      <w:pPr>
        <w:pStyle w:val="Body"/>
        <w:numPr>
          <w:ilvl w:val="2"/>
          <w:numId w:val="12"/>
        </w:numPr>
        <w:spacing w:after="0"/>
        <w:ind w:left="1800"/>
        <w:rPr>
          <w:bCs/>
          <w:iCs/>
        </w:rPr>
      </w:pPr>
      <w:r w:rsidRPr="00062AD5">
        <w:rPr>
          <w:bCs/>
          <w:iCs/>
        </w:rPr>
        <w:t xml:space="preserve">Arrhythmia – </w:t>
      </w:r>
    </w:p>
    <w:p w14:paraId="56D80C53" w14:textId="77777777" w:rsidR="009D6BDF" w:rsidRPr="00062AD5" w:rsidRDefault="00100087" w:rsidP="003B7A57">
      <w:pPr>
        <w:pStyle w:val="Body"/>
        <w:numPr>
          <w:ilvl w:val="3"/>
          <w:numId w:val="12"/>
        </w:numPr>
        <w:spacing w:after="0"/>
        <w:ind w:left="2520"/>
        <w:rPr>
          <w:bCs/>
          <w:iCs/>
        </w:rPr>
      </w:pPr>
      <w:r>
        <w:t xml:space="preserve">In IE, we worry about </w:t>
      </w:r>
      <w:r w:rsidR="009D6BDF">
        <w:t>Heart block (intrinsic or as complication of endocarditis</w:t>
      </w:r>
      <w:r>
        <w:t xml:space="preserve"> with myocardial abscess</w:t>
      </w:r>
      <w:r w:rsidR="009D6BDF">
        <w:t>)</w:t>
      </w:r>
    </w:p>
    <w:p w14:paraId="1CBAEA93" w14:textId="4174B5CC" w:rsidR="33B70876" w:rsidRDefault="00084300" w:rsidP="7DBA3D05">
      <w:pPr>
        <w:pStyle w:val="Body"/>
        <w:numPr>
          <w:ilvl w:val="3"/>
          <w:numId w:val="12"/>
        </w:numPr>
        <w:spacing w:after="0"/>
        <w:ind w:left="2520"/>
      </w:pPr>
      <w:proofErr w:type="gramStart"/>
      <w:r>
        <w:t>Most commonly associated</w:t>
      </w:r>
      <w:proofErr w:type="gramEnd"/>
      <w:r>
        <w:t xml:space="preserve"> with</w:t>
      </w:r>
      <w:r w:rsidR="33B70876">
        <w:t xml:space="preserve"> aortic valve. </w:t>
      </w:r>
      <w:r>
        <w:t xml:space="preserve">Perivalvular </w:t>
      </w:r>
      <w:r w:rsidR="33B70876">
        <w:t xml:space="preserve">abscess </w:t>
      </w:r>
      <w:r>
        <w:t>can extend into the IV septum that contains the proximal conduction system – can lead to heart block.</w:t>
      </w:r>
    </w:p>
    <w:p w14:paraId="2846E412" w14:textId="77777777" w:rsidR="00100087" w:rsidRDefault="00100087" w:rsidP="003B7A57">
      <w:pPr>
        <w:pStyle w:val="Body"/>
        <w:numPr>
          <w:ilvl w:val="1"/>
          <w:numId w:val="12"/>
        </w:numPr>
        <w:spacing w:after="0"/>
        <w:ind w:left="1080"/>
        <w:rPr>
          <w:bCs/>
          <w:iCs/>
        </w:rPr>
      </w:pPr>
      <w:r>
        <w:rPr>
          <w:bCs/>
          <w:iCs/>
        </w:rPr>
        <w:t xml:space="preserve">DDx: </w:t>
      </w:r>
      <w:r w:rsidR="009D6BDF">
        <w:rPr>
          <w:bCs/>
          <w:iCs/>
        </w:rPr>
        <w:t>Other etiology of T</w:t>
      </w:r>
      <w:r>
        <w:rPr>
          <w:bCs/>
          <w:iCs/>
        </w:rPr>
        <w:t xml:space="preserve">ransient Loss of Consciousness? </w:t>
      </w:r>
    </w:p>
    <w:p w14:paraId="4EB0F542" w14:textId="77777777" w:rsidR="009D6BDF" w:rsidRPr="00062AD5" w:rsidRDefault="009D6BDF" w:rsidP="003B7A57">
      <w:pPr>
        <w:pStyle w:val="Body"/>
        <w:numPr>
          <w:ilvl w:val="2"/>
          <w:numId w:val="12"/>
        </w:numPr>
        <w:spacing w:after="0"/>
        <w:ind w:left="1800"/>
        <w:rPr>
          <w:bCs/>
          <w:iCs/>
        </w:rPr>
      </w:pPr>
      <w:r w:rsidRPr="00062AD5">
        <w:rPr>
          <w:bCs/>
          <w:iCs/>
        </w:rPr>
        <w:t>Neurogenic</w:t>
      </w:r>
    </w:p>
    <w:p w14:paraId="5933977C" w14:textId="46B0CBFE" w:rsidR="009D6BDF" w:rsidRPr="00062AD5" w:rsidRDefault="009D6BDF" w:rsidP="003B7A57">
      <w:pPr>
        <w:pStyle w:val="Body"/>
        <w:numPr>
          <w:ilvl w:val="3"/>
          <w:numId w:val="12"/>
        </w:numPr>
        <w:spacing w:after="0"/>
        <w:ind w:left="2520"/>
      </w:pPr>
      <w:r>
        <w:t>TIA/Stroke (arterial occlusion)</w:t>
      </w:r>
      <w:r w:rsidR="627ABCA0">
        <w:t xml:space="preserve"> (septic emboli)</w:t>
      </w:r>
    </w:p>
    <w:p w14:paraId="0A4BDFAE" w14:textId="77777777" w:rsidR="009D6BDF" w:rsidRPr="00062AD5" w:rsidRDefault="009D6BDF" w:rsidP="003B7A57">
      <w:pPr>
        <w:pStyle w:val="Body"/>
        <w:numPr>
          <w:ilvl w:val="3"/>
          <w:numId w:val="12"/>
        </w:numPr>
        <w:spacing w:after="0"/>
        <w:ind w:left="2520"/>
        <w:rPr>
          <w:bCs/>
          <w:iCs/>
        </w:rPr>
      </w:pPr>
      <w:r w:rsidRPr="00062AD5">
        <w:rPr>
          <w:bCs/>
          <w:iCs/>
        </w:rPr>
        <w:t>Intracranial hemorrhage (abscess, mycotic aneurysm)</w:t>
      </w:r>
    </w:p>
    <w:p w14:paraId="0CA71BDE" w14:textId="77777777" w:rsidR="009D6BDF" w:rsidRPr="002F3D0D" w:rsidRDefault="009D6BDF" w:rsidP="003B7A57">
      <w:pPr>
        <w:pStyle w:val="Body"/>
        <w:numPr>
          <w:ilvl w:val="3"/>
          <w:numId w:val="12"/>
        </w:numPr>
        <w:spacing w:after="0"/>
        <w:ind w:left="2520"/>
        <w:rPr>
          <w:bCs/>
          <w:iCs/>
          <w:lang w:val="pt-BR"/>
        </w:rPr>
      </w:pPr>
      <w:r w:rsidRPr="002F3D0D">
        <w:rPr>
          <w:bCs/>
          <w:iCs/>
          <w:lang w:val="pt-BR"/>
        </w:rPr>
        <w:t>Seizure (abscess as seizure focus)</w:t>
      </w:r>
    </w:p>
    <w:p w14:paraId="36F28F90" w14:textId="08387B82" w:rsidR="00100087" w:rsidRPr="00062AD5" w:rsidRDefault="00100087" w:rsidP="003B7A57">
      <w:pPr>
        <w:pStyle w:val="Body"/>
        <w:numPr>
          <w:ilvl w:val="2"/>
          <w:numId w:val="12"/>
        </w:numPr>
        <w:spacing w:after="0"/>
        <w:ind w:left="1800"/>
      </w:pPr>
      <w:r>
        <w:t xml:space="preserve">Note: FYI cerebral complications are </w:t>
      </w:r>
      <w:r w:rsidR="6356851F">
        <w:t>the most</w:t>
      </w:r>
      <w:r>
        <w:t xml:space="preserve"> severe and most common extra-cardiac complications (17-20% of patients).</w:t>
      </w:r>
    </w:p>
    <w:p w14:paraId="41C8F396" w14:textId="77777777" w:rsidR="00100087" w:rsidRPr="00062AD5" w:rsidRDefault="00100087" w:rsidP="00100087">
      <w:pPr>
        <w:pStyle w:val="Body"/>
        <w:spacing w:after="0"/>
        <w:rPr>
          <w:bCs/>
          <w:iCs/>
        </w:rPr>
      </w:pPr>
    </w:p>
    <w:p w14:paraId="0A885BDB" w14:textId="77777777" w:rsidR="009D6BDF" w:rsidRPr="00062AD5" w:rsidRDefault="009D6BDF" w:rsidP="009D6BDF">
      <w:pPr>
        <w:pStyle w:val="Body"/>
        <w:numPr>
          <w:ilvl w:val="0"/>
          <w:numId w:val="12"/>
        </w:numPr>
        <w:spacing w:after="0"/>
        <w:rPr>
          <w:bCs/>
          <w:iCs/>
        </w:rPr>
      </w:pPr>
      <w:r w:rsidRPr="00100087">
        <w:rPr>
          <w:b/>
          <w:bCs/>
          <w:iCs/>
        </w:rPr>
        <w:t>Shortness of breath</w:t>
      </w:r>
      <w:r w:rsidRPr="00062AD5">
        <w:rPr>
          <w:bCs/>
          <w:iCs/>
        </w:rPr>
        <w:t xml:space="preserve"> – possibly due to a complication of endocarditis</w:t>
      </w:r>
    </w:p>
    <w:p w14:paraId="7CC2800C" w14:textId="77777777" w:rsidR="009D6BDF" w:rsidRPr="00062AD5" w:rsidRDefault="009D6BDF" w:rsidP="009D6BDF">
      <w:pPr>
        <w:pStyle w:val="Body"/>
        <w:numPr>
          <w:ilvl w:val="1"/>
          <w:numId w:val="12"/>
        </w:numPr>
        <w:spacing w:after="0"/>
        <w:rPr>
          <w:bCs/>
          <w:iCs/>
        </w:rPr>
      </w:pPr>
      <w:r w:rsidRPr="00062AD5">
        <w:rPr>
          <w:bCs/>
          <w:iCs/>
        </w:rPr>
        <w:t xml:space="preserve">Heart failure </w:t>
      </w:r>
      <w:r>
        <w:rPr>
          <w:bCs/>
          <w:iCs/>
        </w:rPr>
        <w:t xml:space="preserve">2/2 </w:t>
      </w:r>
      <w:proofErr w:type="spellStart"/>
      <w:r>
        <w:rPr>
          <w:bCs/>
          <w:iCs/>
        </w:rPr>
        <w:t>valvulopathy</w:t>
      </w:r>
      <w:proofErr w:type="spellEnd"/>
    </w:p>
    <w:p w14:paraId="72A3D3EC" w14:textId="678D4DEE" w:rsidR="009D6BDF" w:rsidRPr="000702F4" w:rsidRDefault="009D6BDF" w:rsidP="000702F4">
      <w:pPr>
        <w:pStyle w:val="Body"/>
        <w:numPr>
          <w:ilvl w:val="1"/>
          <w:numId w:val="12"/>
        </w:numPr>
        <w:spacing w:after="0"/>
        <w:rPr>
          <w:bCs/>
          <w:iCs/>
        </w:rPr>
      </w:pPr>
      <w:r w:rsidRPr="00062AD5">
        <w:rPr>
          <w:bCs/>
          <w:iCs/>
        </w:rPr>
        <w:t>Septic pulmonary emboli</w:t>
      </w:r>
    </w:p>
    <w:p w14:paraId="46539405" w14:textId="77777777" w:rsidR="000702F4" w:rsidRDefault="000702F4" w:rsidP="009D6BDF">
      <w:pPr>
        <w:pStyle w:val="Body"/>
        <w:spacing w:after="0"/>
        <w:rPr>
          <w:bCs/>
          <w:iCs/>
        </w:rPr>
      </w:pPr>
    </w:p>
    <w:p w14:paraId="6B6EA505" w14:textId="32F39979" w:rsidR="00100087" w:rsidRDefault="00100087" w:rsidP="7DBA3D05">
      <w:pPr>
        <w:pStyle w:val="Body"/>
        <w:spacing w:after="0"/>
        <w:rPr>
          <w:b/>
          <w:bCs/>
        </w:rPr>
      </w:pPr>
      <w:r w:rsidRPr="7DBA3D05">
        <w:rPr>
          <w:b/>
          <w:bCs/>
        </w:rPr>
        <w:t xml:space="preserve">Why should we worry about IE in this patient? </w:t>
      </w:r>
    </w:p>
    <w:p w14:paraId="25FD3D10" w14:textId="77777777" w:rsidR="009D6BDF" w:rsidRPr="00062AD5" w:rsidRDefault="009D6BDF" w:rsidP="000702F4">
      <w:pPr>
        <w:pStyle w:val="Body"/>
        <w:numPr>
          <w:ilvl w:val="0"/>
          <w:numId w:val="12"/>
        </w:numPr>
        <w:spacing w:after="0"/>
        <w:rPr>
          <w:bCs/>
          <w:iCs/>
        </w:rPr>
      </w:pPr>
      <w:r w:rsidRPr="00062AD5">
        <w:rPr>
          <w:bCs/>
          <w:iCs/>
        </w:rPr>
        <w:t>Fevers (8</w:t>
      </w:r>
      <w:r>
        <w:rPr>
          <w:bCs/>
          <w:iCs/>
        </w:rPr>
        <w:t>6</w:t>
      </w:r>
      <w:r w:rsidRPr="00062AD5">
        <w:rPr>
          <w:bCs/>
          <w:iCs/>
        </w:rPr>
        <w:t>%</w:t>
      </w:r>
      <w:r>
        <w:rPr>
          <w:bCs/>
          <w:iCs/>
        </w:rPr>
        <w:t>-96%</w:t>
      </w:r>
      <w:r w:rsidRPr="00062AD5">
        <w:rPr>
          <w:bCs/>
          <w:iCs/>
        </w:rPr>
        <w:t xml:space="preserve"> of cases)</w:t>
      </w:r>
    </w:p>
    <w:p w14:paraId="1A55C9CE" w14:textId="77777777" w:rsidR="009D6BDF" w:rsidRDefault="009D6BDF" w:rsidP="000702F4">
      <w:pPr>
        <w:pStyle w:val="Body"/>
        <w:numPr>
          <w:ilvl w:val="0"/>
          <w:numId w:val="12"/>
        </w:numPr>
        <w:spacing w:after="0"/>
        <w:rPr>
          <w:bCs/>
          <w:iCs/>
        </w:rPr>
      </w:pPr>
      <w:r w:rsidRPr="00062AD5">
        <w:rPr>
          <w:bCs/>
          <w:iCs/>
        </w:rPr>
        <w:t>Constitutional symptoms- chills, fatigue (non-specific but point towards systemic symptoms from his infection)</w:t>
      </w:r>
    </w:p>
    <w:p w14:paraId="6DAD740C" w14:textId="77777777" w:rsidR="00100087" w:rsidRPr="00062AD5" w:rsidRDefault="00100087" w:rsidP="000702F4">
      <w:pPr>
        <w:pStyle w:val="Body"/>
        <w:numPr>
          <w:ilvl w:val="0"/>
          <w:numId w:val="12"/>
        </w:numPr>
        <w:spacing w:after="0"/>
        <w:rPr>
          <w:bCs/>
          <w:iCs/>
        </w:rPr>
      </w:pPr>
      <w:r>
        <w:rPr>
          <w:bCs/>
          <w:iCs/>
        </w:rPr>
        <w:t>At risk population (IVDU)</w:t>
      </w:r>
    </w:p>
    <w:p w14:paraId="0D0B940D" w14:textId="77777777" w:rsidR="009D6BDF" w:rsidRDefault="009D6BDF" w:rsidP="009D6BDF">
      <w:pPr>
        <w:pStyle w:val="Body"/>
        <w:spacing w:after="0"/>
        <w:rPr>
          <w:bCs/>
          <w:iCs/>
        </w:rPr>
      </w:pPr>
    </w:p>
    <w:p w14:paraId="387E340E" w14:textId="6E08B962" w:rsidR="009D6BDF" w:rsidRDefault="009D6BDF" w:rsidP="009D6BDF">
      <w:pPr>
        <w:pStyle w:val="Body"/>
        <w:spacing w:after="0"/>
      </w:pPr>
      <w:r>
        <w:t xml:space="preserve"> </w:t>
      </w:r>
      <w:r w:rsidRPr="07C25BCD">
        <w:rPr>
          <w:u w:val="single"/>
        </w:rPr>
        <w:t>Point:</w:t>
      </w:r>
      <w:r>
        <w:t xml:space="preserve"> Worried about endocarditis </w:t>
      </w:r>
      <w:r w:rsidR="00100087">
        <w:t>with</w:t>
      </w:r>
      <w:r>
        <w:t xml:space="preserve"> possible complications of endocarditis causing </w:t>
      </w:r>
      <w:r w:rsidR="6BA0379C">
        <w:t>syncope</w:t>
      </w:r>
      <w:r>
        <w:t>.  The presentation for acute IE is indistinguishable from general causes of sepsis, however; with the subacute illness and risk factors present, it must be considered.</w:t>
      </w:r>
    </w:p>
    <w:p w14:paraId="0E27B00A" w14:textId="77777777" w:rsidR="009D6BDF" w:rsidRPr="00062AD5" w:rsidRDefault="009D6BDF" w:rsidP="009D6BDF">
      <w:pPr>
        <w:pStyle w:val="Body"/>
        <w:spacing w:after="0"/>
        <w:rPr>
          <w:bCs/>
          <w:iCs/>
        </w:rPr>
      </w:pPr>
    </w:p>
    <w:p w14:paraId="10EA9978" w14:textId="2FED6283" w:rsidR="7DBA3D05" w:rsidRDefault="7DBA3D05" w:rsidP="7DBA3D05">
      <w:pPr>
        <w:pStyle w:val="Body"/>
        <w:spacing w:after="0"/>
        <w:rPr>
          <w:b/>
          <w:bCs/>
        </w:rPr>
      </w:pPr>
    </w:p>
    <w:p w14:paraId="40E915BB" w14:textId="77777777" w:rsidR="000F7ADA" w:rsidRDefault="000F7ADA" w:rsidP="7DBA3D05">
      <w:pPr>
        <w:pStyle w:val="Body"/>
        <w:spacing w:after="0"/>
        <w:rPr>
          <w:b/>
          <w:bCs/>
        </w:rPr>
      </w:pPr>
    </w:p>
    <w:p w14:paraId="249B25CB" w14:textId="68484EA7" w:rsidR="7DBA3D05" w:rsidRDefault="7DBA3D05" w:rsidP="7DBA3D05">
      <w:pPr>
        <w:pStyle w:val="Body"/>
        <w:spacing w:after="0"/>
        <w:rPr>
          <w:b/>
          <w:bCs/>
        </w:rPr>
      </w:pPr>
    </w:p>
    <w:p w14:paraId="0BB0DF83" w14:textId="77777777" w:rsidR="00B5217E" w:rsidRPr="00062AD5" w:rsidRDefault="00100087" w:rsidP="003970C8">
      <w:pPr>
        <w:pStyle w:val="Body"/>
        <w:spacing w:after="0"/>
        <w:rPr>
          <w:b/>
          <w:bCs/>
          <w:iCs/>
        </w:rPr>
      </w:pPr>
      <w:r>
        <w:rPr>
          <w:b/>
          <w:bCs/>
          <w:iCs/>
        </w:rPr>
        <w:lastRenderedPageBreak/>
        <w:t>2</w:t>
      </w:r>
      <w:r w:rsidR="00B5217E" w:rsidRPr="00062AD5">
        <w:rPr>
          <w:b/>
          <w:bCs/>
          <w:iCs/>
        </w:rPr>
        <w:t xml:space="preserve">. Why </w:t>
      </w:r>
      <w:r>
        <w:rPr>
          <w:b/>
          <w:bCs/>
          <w:iCs/>
        </w:rPr>
        <w:t>does</w:t>
      </w:r>
      <w:r w:rsidR="008C0224" w:rsidRPr="00062AD5">
        <w:rPr>
          <w:b/>
          <w:bCs/>
          <w:iCs/>
        </w:rPr>
        <w:t xml:space="preserve"> IVDU</w:t>
      </w:r>
      <w:r w:rsidR="004F6763" w:rsidRPr="00062AD5">
        <w:rPr>
          <w:b/>
          <w:bCs/>
          <w:iCs/>
        </w:rPr>
        <w:t xml:space="preserve"> </w:t>
      </w:r>
      <w:r>
        <w:rPr>
          <w:b/>
          <w:bCs/>
          <w:iCs/>
        </w:rPr>
        <w:t>create</w:t>
      </w:r>
      <w:r w:rsidR="00B5217E" w:rsidRPr="00062AD5">
        <w:rPr>
          <w:b/>
          <w:bCs/>
          <w:iCs/>
        </w:rPr>
        <w:t xml:space="preserve"> risk for endocarditis?  What other patients are at risk for endocarditis?</w:t>
      </w:r>
    </w:p>
    <w:p w14:paraId="0D0A89C6" w14:textId="48780C1C" w:rsidR="00B5217E" w:rsidRDefault="00B5217E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 xml:space="preserve">- </w:t>
      </w:r>
      <w:r w:rsidRPr="00084300">
        <w:rPr>
          <w:b/>
          <w:bCs/>
          <w:iCs/>
        </w:rPr>
        <w:t>Point:</w:t>
      </w:r>
      <w:r w:rsidRPr="00062AD5">
        <w:rPr>
          <w:bCs/>
          <w:iCs/>
        </w:rPr>
        <w:t xml:space="preserve"> At risk when valve tissue is damage or replaced </w:t>
      </w:r>
    </w:p>
    <w:p w14:paraId="40756743" w14:textId="73074E0D" w:rsidR="00084300" w:rsidRDefault="00084300" w:rsidP="003970C8">
      <w:pPr>
        <w:pStyle w:val="Body"/>
        <w:spacing w:after="0"/>
        <w:rPr>
          <w:bCs/>
          <w:iCs/>
        </w:rPr>
      </w:pPr>
    </w:p>
    <w:p w14:paraId="0F3879B6" w14:textId="2E4C0888" w:rsidR="00084300" w:rsidRDefault="00084300" w:rsidP="00084300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With IVDU the risk for endocarditis is not just due to the potential bacteria being introduced from injecting (that’s the bacteremia risk), the</w:t>
      </w:r>
      <w:r>
        <w:rPr>
          <w:bCs/>
          <w:iCs/>
        </w:rPr>
        <w:t xml:space="preserve">re is also damage to the valve from repeated IV injections of solid particles. </w:t>
      </w:r>
    </w:p>
    <w:p w14:paraId="35F01250" w14:textId="16F55602" w:rsidR="00084300" w:rsidRDefault="00084300" w:rsidP="00084300">
      <w:pPr>
        <w:pStyle w:val="Body"/>
        <w:spacing w:after="0"/>
        <w:rPr>
          <w:bCs/>
          <w:iCs/>
        </w:rPr>
      </w:pPr>
    </w:p>
    <w:p w14:paraId="5CF14CBD" w14:textId="4EEBF230" w:rsidR="00084300" w:rsidRPr="00062AD5" w:rsidRDefault="00084300" w:rsidP="00084300">
      <w:pPr>
        <w:pStyle w:val="Body"/>
        <w:spacing w:after="0"/>
        <w:rPr>
          <w:bCs/>
          <w:iCs/>
        </w:rPr>
      </w:pPr>
      <w:r>
        <w:rPr>
          <w:bCs/>
          <w:iCs/>
        </w:rPr>
        <w:t xml:space="preserve">At risk: </w:t>
      </w:r>
    </w:p>
    <w:p w14:paraId="7B5057A3" w14:textId="4CB6ED8F" w:rsidR="00B5217E" w:rsidRPr="00062AD5" w:rsidRDefault="00B5217E" w:rsidP="003970C8">
      <w:pPr>
        <w:pStyle w:val="Body"/>
        <w:spacing w:after="0"/>
        <w:rPr>
          <w:bCs/>
          <w:iCs/>
        </w:rPr>
      </w:pPr>
      <w:r w:rsidRPr="00543667">
        <w:rPr>
          <w:bCs/>
          <w:iCs/>
          <w:u w:val="single"/>
        </w:rPr>
        <w:t>Endothelial damage</w:t>
      </w:r>
      <w:r w:rsidRPr="00062AD5">
        <w:rPr>
          <w:bCs/>
          <w:iCs/>
        </w:rPr>
        <w:t xml:space="preserve">: </w:t>
      </w:r>
      <w:r w:rsidRPr="00543667">
        <w:rPr>
          <w:bCs/>
          <w:iCs/>
        </w:rPr>
        <w:t>repeated IV injections of solid particles</w:t>
      </w:r>
      <w:r w:rsidRPr="00062AD5">
        <w:rPr>
          <w:bCs/>
          <w:iCs/>
        </w:rPr>
        <w:t xml:space="preserve">, turbulent blood </w:t>
      </w:r>
      <w:proofErr w:type="gramStart"/>
      <w:r w:rsidRPr="00062AD5">
        <w:rPr>
          <w:bCs/>
          <w:iCs/>
        </w:rPr>
        <w:t>flow</w:t>
      </w:r>
      <w:proofErr w:type="gramEnd"/>
    </w:p>
    <w:p w14:paraId="3FBEA1E5" w14:textId="16EF5FF4" w:rsidR="00B5217E" w:rsidRDefault="00B5217E" w:rsidP="003970C8">
      <w:pPr>
        <w:pStyle w:val="Body"/>
        <w:spacing w:after="0"/>
      </w:pPr>
      <w:r w:rsidRPr="07C25BCD">
        <w:rPr>
          <w:u w:val="single"/>
        </w:rPr>
        <w:t>Chronic inflammation:</w:t>
      </w:r>
      <w:r>
        <w:t xml:space="preserve"> chronic rheumatic heart disease, degenerative valvular lesions</w:t>
      </w:r>
      <w:r w:rsidR="22C8458B">
        <w:t>, p</w:t>
      </w:r>
      <w:r w:rsidRPr="00062AD5">
        <w:rPr>
          <w:bCs/>
          <w:iCs/>
        </w:rPr>
        <w:tab/>
      </w:r>
      <w:proofErr w:type="spellStart"/>
      <w:r w:rsidRPr="07C25BCD">
        <w:t>rosthetic</w:t>
      </w:r>
      <w:proofErr w:type="spellEnd"/>
      <w:r w:rsidRPr="07C25BCD">
        <w:t xml:space="preserve"> valves or materials</w:t>
      </w:r>
    </w:p>
    <w:p w14:paraId="552C8E9B" w14:textId="6C8CC1DB" w:rsidR="00543667" w:rsidRPr="00062AD5" w:rsidRDefault="00543667" w:rsidP="00084300">
      <w:pPr>
        <w:pStyle w:val="Body"/>
        <w:spacing w:after="0"/>
        <w:rPr>
          <w:bCs/>
          <w:iCs/>
        </w:rPr>
      </w:pPr>
      <w:r w:rsidRPr="00543667">
        <w:rPr>
          <w:bCs/>
          <w:iCs/>
          <w:u w:val="single"/>
        </w:rPr>
        <w:t>Other:</w:t>
      </w:r>
      <w:r>
        <w:rPr>
          <w:bCs/>
          <w:iCs/>
        </w:rPr>
        <w:t xml:space="preserve"> Age &gt;60, Male Sex, Chronic HD, IV catheter, indwelling cardiac device, oral hygiene or dental pathology</w:t>
      </w:r>
      <w:r w:rsidR="0084600E">
        <w:rPr>
          <w:bCs/>
          <w:iCs/>
        </w:rPr>
        <w:t>, congenital heart disease</w:t>
      </w:r>
    </w:p>
    <w:p w14:paraId="3DEEC669" w14:textId="77777777" w:rsidR="004F6763" w:rsidRPr="00062AD5" w:rsidRDefault="004F6763" w:rsidP="003970C8">
      <w:pPr>
        <w:pStyle w:val="Body"/>
        <w:spacing w:after="0"/>
        <w:rPr>
          <w:bCs/>
          <w:iCs/>
        </w:rPr>
      </w:pPr>
    </w:p>
    <w:p w14:paraId="7D7E1F0F" w14:textId="77777777" w:rsidR="00274758" w:rsidRPr="00062AD5" w:rsidRDefault="00274758" w:rsidP="003970C8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>3. What else would you look for on physical exam?</w:t>
      </w:r>
    </w:p>
    <w:p w14:paraId="3656B9AB" w14:textId="6EF5DECC" w:rsidR="00CA0D55" w:rsidRDefault="00B3258B" w:rsidP="003B7A57">
      <w:pPr>
        <w:pStyle w:val="Body"/>
        <w:spacing w:after="0"/>
        <w:rPr>
          <w:bCs/>
          <w:i/>
          <w:iCs/>
        </w:rPr>
      </w:pPr>
      <w:r w:rsidRPr="00062AD5">
        <w:rPr>
          <w:bCs/>
          <w:i/>
          <w:iCs/>
        </w:rPr>
        <w:t xml:space="preserve">Please discuss this in general. Do </w:t>
      </w:r>
      <w:r w:rsidR="00FA311F" w:rsidRPr="00062AD5">
        <w:rPr>
          <w:bCs/>
          <w:i/>
          <w:iCs/>
        </w:rPr>
        <w:t>not</w:t>
      </w:r>
      <w:r w:rsidRPr="00062AD5">
        <w:rPr>
          <w:bCs/>
          <w:i/>
          <w:iCs/>
        </w:rPr>
        <w:t xml:space="preserve"> need to hit every single point.  </w:t>
      </w:r>
      <w:r w:rsidR="009512DD" w:rsidRPr="00062AD5">
        <w:rPr>
          <w:bCs/>
          <w:i/>
          <w:iCs/>
        </w:rPr>
        <w:t xml:space="preserve">Percentages listed in case you get asked but do not worry about these details for learners otherwise.  </w:t>
      </w:r>
    </w:p>
    <w:p w14:paraId="6D5671A7" w14:textId="077D9198" w:rsidR="003B7A57" w:rsidRPr="003B7A57" w:rsidRDefault="003B7A57" w:rsidP="003970C8">
      <w:pPr>
        <w:pStyle w:val="Body"/>
        <w:spacing w:after="0"/>
        <w:rPr>
          <w:bCs/>
        </w:rPr>
      </w:pPr>
      <w:r w:rsidRPr="003B7A57">
        <w:rPr>
          <w:bCs/>
          <w:u w:val="single"/>
        </w:rPr>
        <w:t>General:</w:t>
      </w:r>
      <w:r>
        <w:rPr>
          <w:bCs/>
        </w:rPr>
        <w:t xml:space="preserve"> Presenting with syncope, may want to check orthostats (negative in this case) </w:t>
      </w:r>
    </w:p>
    <w:p w14:paraId="2A77B64F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HEENT</w:t>
      </w:r>
      <w:r w:rsidRPr="00062AD5">
        <w:rPr>
          <w:bCs/>
          <w:iCs/>
        </w:rPr>
        <w:t>:</w:t>
      </w:r>
    </w:p>
    <w:p w14:paraId="1CCFE993" w14:textId="04660FA5" w:rsidR="00274758" w:rsidRPr="00062AD5" w:rsidRDefault="00E051EB" w:rsidP="07C25BCD">
      <w:pPr>
        <w:pStyle w:val="Body"/>
        <w:spacing w:after="0"/>
        <w:ind w:left="720"/>
      </w:pPr>
      <w:r>
        <w:t xml:space="preserve">- </w:t>
      </w:r>
      <w:r w:rsidR="00274758">
        <w:t xml:space="preserve">Dentition- poor </w:t>
      </w:r>
      <w:r w:rsidR="008C0224">
        <w:t>dentition increases</w:t>
      </w:r>
      <w:r w:rsidR="00274758">
        <w:t xml:space="preserve"> risk of endocarditis 2/2 oral flora, </w:t>
      </w:r>
      <w:proofErr w:type="gramStart"/>
      <w:r w:rsidR="094A0ED8">
        <w:t>Some</w:t>
      </w:r>
      <w:proofErr w:type="gramEnd"/>
      <w:r w:rsidR="094A0ED8">
        <w:t xml:space="preserve"> people who use IV drugs may </w:t>
      </w:r>
      <w:r w:rsidR="00274758">
        <w:t xml:space="preserve">lick needles </w:t>
      </w:r>
      <w:r w:rsidR="7CA2D806">
        <w:t>which puts them at risk</w:t>
      </w:r>
    </w:p>
    <w:p w14:paraId="3E9872A4" w14:textId="77777777" w:rsidR="00B3258B" w:rsidRPr="00062AD5" w:rsidRDefault="00B3258B" w:rsidP="003970C8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 xml:space="preserve">- </w:t>
      </w:r>
      <w:r w:rsidR="009512DD" w:rsidRPr="00062AD5">
        <w:rPr>
          <w:bCs/>
          <w:iCs/>
        </w:rPr>
        <w:t>Conjunctival hemorrhage (5%)</w:t>
      </w:r>
    </w:p>
    <w:p w14:paraId="0624FF4F" w14:textId="77777777" w:rsidR="00274758" w:rsidRPr="00062AD5" w:rsidRDefault="00B3258B" w:rsidP="003970C8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</w:rPr>
        <w:t xml:space="preserve">- </w:t>
      </w:r>
      <w:r w:rsidR="001E0AE7">
        <w:rPr>
          <w:bCs/>
          <w:iCs/>
        </w:rPr>
        <w:t>*</w:t>
      </w:r>
      <w:r w:rsidR="001E0AE7" w:rsidRPr="004B6483">
        <w:rPr>
          <w:bCs/>
          <w:iCs/>
        </w:rPr>
        <w:t>Roth’s spots</w:t>
      </w:r>
      <w:r w:rsidR="001E0AE7">
        <w:rPr>
          <w:bCs/>
          <w:iCs/>
        </w:rPr>
        <w:t xml:space="preserve"> (2</w:t>
      </w:r>
      <w:r w:rsidR="00274758" w:rsidRPr="00062AD5">
        <w:rPr>
          <w:bCs/>
          <w:iCs/>
        </w:rPr>
        <w:t>%)</w:t>
      </w:r>
      <w:r w:rsidR="00E815C3" w:rsidRPr="00062AD5">
        <w:rPr>
          <w:bCs/>
          <w:iCs/>
        </w:rPr>
        <w:t xml:space="preserve"> –</w:t>
      </w:r>
      <w:r w:rsidR="00274758" w:rsidRPr="00062AD5">
        <w:rPr>
          <w:bCs/>
          <w:iCs/>
        </w:rPr>
        <w:t xml:space="preserve"> exudative, edematous hemorrhagic lesions of retina with pale centers</w:t>
      </w:r>
      <w:r w:rsidR="00E815C3" w:rsidRPr="00062AD5">
        <w:rPr>
          <w:bCs/>
          <w:iCs/>
        </w:rPr>
        <w:t>. Usually related to subacute bacterial endocarditis, but also leukemia, DM, hypertensive retinopathy</w:t>
      </w:r>
    </w:p>
    <w:p w14:paraId="7D07B963" w14:textId="77777777" w:rsidR="00274758" w:rsidRPr="00062AD5" w:rsidRDefault="00274758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CV</w:t>
      </w:r>
      <w:r w:rsidRPr="00062AD5">
        <w:rPr>
          <w:bCs/>
          <w:iCs/>
        </w:rPr>
        <w:t>:</w:t>
      </w:r>
    </w:p>
    <w:p w14:paraId="12026220" w14:textId="77777777" w:rsidR="00274758" w:rsidRPr="00062AD5" w:rsidRDefault="00B3258B" w:rsidP="003970C8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>- New regurgitant murmur (48%)</w:t>
      </w:r>
    </w:p>
    <w:p w14:paraId="7F1090D8" w14:textId="77777777" w:rsidR="00B3258B" w:rsidRPr="00062AD5" w:rsidRDefault="00B3258B" w:rsidP="003970C8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>- Worsening of prior regurgitant murmur (20%)</w:t>
      </w:r>
    </w:p>
    <w:p w14:paraId="45FB0818" w14:textId="548412E1" w:rsidR="00100087" w:rsidRPr="000702F4" w:rsidRDefault="00B3258B" w:rsidP="000702F4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>- Bradycardia 2/2 heart block</w:t>
      </w:r>
    </w:p>
    <w:p w14:paraId="64F3A20F" w14:textId="77777777" w:rsidR="00B3258B" w:rsidRPr="00062AD5" w:rsidRDefault="00B3258B" w:rsidP="00100087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Abd/Renal</w:t>
      </w:r>
      <w:r w:rsidRPr="00062AD5">
        <w:rPr>
          <w:bCs/>
          <w:iCs/>
        </w:rPr>
        <w:t>:</w:t>
      </w:r>
    </w:p>
    <w:p w14:paraId="0FA53379" w14:textId="77777777" w:rsidR="00B3258B" w:rsidRPr="00062AD5" w:rsidRDefault="00B3258B" w:rsidP="003970C8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</w:rPr>
        <w:t xml:space="preserve">- </w:t>
      </w:r>
      <w:r w:rsidR="00100087">
        <w:rPr>
          <w:bCs/>
          <w:iCs/>
        </w:rPr>
        <w:t>*</w:t>
      </w:r>
      <w:r w:rsidRPr="00062AD5">
        <w:rPr>
          <w:bCs/>
          <w:iCs/>
        </w:rPr>
        <w:t>Hema</w:t>
      </w:r>
      <w:r w:rsidR="00C45761">
        <w:rPr>
          <w:bCs/>
          <w:iCs/>
        </w:rPr>
        <w:t>turia 2/2 glomerulonephritis (26</w:t>
      </w:r>
      <w:r w:rsidRPr="00062AD5">
        <w:rPr>
          <w:bCs/>
          <w:iCs/>
        </w:rPr>
        <w:t>%)</w:t>
      </w:r>
      <w:r w:rsidR="004B6483">
        <w:rPr>
          <w:bCs/>
          <w:iCs/>
        </w:rPr>
        <w:t xml:space="preserve"> </w:t>
      </w:r>
    </w:p>
    <w:p w14:paraId="049F31CB" w14:textId="69D52564" w:rsidR="009379D8" w:rsidRPr="000702F4" w:rsidRDefault="00B3258B" w:rsidP="000702F4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>- Splenomegaly (11%)</w:t>
      </w:r>
    </w:p>
    <w:p w14:paraId="09618CCB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MSK</w:t>
      </w:r>
      <w:r w:rsidRPr="00062AD5">
        <w:rPr>
          <w:bCs/>
          <w:iCs/>
        </w:rPr>
        <w:t>:</w:t>
      </w:r>
    </w:p>
    <w:p w14:paraId="37D4A337" w14:textId="77777777" w:rsidR="00B3258B" w:rsidRPr="00062AD5" w:rsidRDefault="00B3258B" w:rsidP="003970C8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>- Septic joints</w:t>
      </w:r>
      <w:r w:rsidR="00E815C3" w:rsidRPr="00062AD5">
        <w:rPr>
          <w:bCs/>
          <w:iCs/>
        </w:rPr>
        <w:t xml:space="preserve"> –</w:t>
      </w:r>
      <w:r w:rsidRPr="00062AD5">
        <w:rPr>
          <w:bCs/>
          <w:iCs/>
        </w:rPr>
        <w:t xml:space="preserve"> warm, erythematous painful joints; effusions</w:t>
      </w:r>
    </w:p>
    <w:p w14:paraId="7159CF3D" w14:textId="77777777" w:rsidR="00B3258B" w:rsidRPr="00062AD5" w:rsidRDefault="00B3258B" w:rsidP="003970C8">
      <w:pPr>
        <w:pStyle w:val="Body"/>
        <w:spacing w:after="0"/>
        <w:ind w:firstLine="720"/>
        <w:rPr>
          <w:bCs/>
          <w:iCs/>
        </w:rPr>
      </w:pPr>
      <w:r w:rsidRPr="00062AD5">
        <w:rPr>
          <w:bCs/>
          <w:iCs/>
        </w:rPr>
        <w:t>- Signs of abscesses</w:t>
      </w:r>
      <w:r w:rsidR="00C36A05" w:rsidRPr="00062AD5">
        <w:rPr>
          <w:bCs/>
          <w:iCs/>
        </w:rPr>
        <w:t xml:space="preserve"> –</w:t>
      </w:r>
      <w:r w:rsidRPr="00062AD5">
        <w:rPr>
          <w:bCs/>
          <w:iCs/>
        </w:rPr>
        <w:t xml:space="preserve"> pinpoint spinal tenderness, psoas sign</w:t>
      </w:r>
    </w:p>
    <w:p w14:paraId="1AB4D7E9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Skin</w:t>
      </w:r>
      <w:r w:rsidRPr="00062AD5">
        <w:rPr>
          <w:bCs/>
          <w:iCs/>
        </w:rPr>
        <w:t>:</w:t>
      </w:r>
    </w:p>
    <w:p w14:paraId="5380A37C" w14:textId="77777777" w:rsidR="00B3258B" w:rsidRPr="00062AD5" w:rsidRDefault="00B3258B" w:rsidP="003970C8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</w:rPr>
        <w:t>- Janeway lesions (5%)</w:t>
      </w:r>
      <w:r w:rsidR="00C36A05" w:rsidRPr="00062AD5">
        <w:rPr>
          <w:bCs/>
          <w:iCs/>
        </w:rPr>
        <w:t xml:space="preserve"> –</w:t>
      </w:r>
      <w:r w:rsidRPr="00062AD5">
        <w:rPr>
          <w:bCs/>
          <w:iCs/>
        </w:rPr>
        <w:t xml:space="preserve"> non-painful erythematous macular or nodular lesions on hands and feet (reflect </w:t>
      </w:r>
      <w:proofErr w:type="spellStart"/>
      <w:r w:rsidRPr="00062AD5">
        <w:rPr>
          <w:bCs/>
          <w:iCs/>
        </w:rPr>
        <w:t>microabscesses</w:t>
      </w:r>
      <w:proofErr w:type="spellEnd"/>
      <w:r w:rsidRPr="00062AD5">
        <w:rPr>
          <w:bCs/>
          <w:iCs/>
        </w:rPr>
        <w:t>, vascular phenomena)</w:t>
      </w:r>
    </w:p>
    <w:p w14:paraId="789FBEFA" w14:textId="77777777" w:rsidR="00B3258B" w:rsidRPr="00062AD5" w:rsidRDefault="00E051EB" w:rsidP="003970C8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</w:rPr>
        <w:t>-</w:t>
      </w:r>
      <w:r w:rsidR="00B3258B" w:rsidRPr="00062AD5">
        <w:rPr>
          <w:bCs/>
          <w:iCs/>
        </w:rPr>
        <w:t>*</w:t>
      </w:r>
      <w:r w:rsidR="00B3258B" w:rsidRPr="004B6483">
        <w:rPr>
          <w:bCs/>
          <w:iCs/>
        </w:rPr>
        <w:t>Osler’s nodes</w:t>
      </w:r>
      <w:r w:rsidR="00B3258B" w:rsidRPr="00062AD5">
        <w:rPr>
          <w:bCs/>
          <w:iCs/>
        </w:rPr>
        <w:t xml:space="preserve"> (</w:t>
      </w:r>
      <w:r w:rsidR="00C45761">
        <w:rPr>
          <w:bCs/>
          <w:iCs/>
        </w:rPr>
        <w:t>3%</w:t>
      </w:r>
      <w:r w:rsidR="00B3258B" w:rsidRPr="00062AD5">
        <w:rPr>
          <w:bCs/>
          <w:iCs/>
        </w:rPr>
        <w:t>)</w:t>
      </w:r>
      <w:r w:rsidR="00C36A05" w:rsidRPr="00062AD5">
        <w:rPr>
          <w:bCs/>
          <w:iCs/>
        </w:rPr>
        <w:t xml:space="preserve"> –</w:t>
      </w:r>
      <w:r w:rsidR="00B3258B" w:rsidRPr="00062AD5">
        <w:rPr>
          <w:bCs/>
          <w:iCs/>
        </w:rPr>
        <w:t xml:space="preserve"> </w:t>
      </w:r>
      <w:r w:rsidR="00100087">
        <w:rPr>
          <w:bCs/>
          <w:iCs/>
        </w:rPr>
        <w:t>painful (</w:t>
      </w:r>
      <w:r w:rsidR="00100087" w:rsidRPr="00100087">
        <w:rPr>
          <w:b/>
          <w:bCs/>
          <w:iCs/>
        </w:rPr>
        <w:t>O</w:t>
      </w:r>
      <w:r w:rsidR="00100087">
        <w:rPr>
          <w:bCs/>
          <w:iCs/>
        </w:rPr>
        <w:t xml:space="preserve">uch </w:t>
      </w:r>
      <w:r w:rsidR="00100087" w:rsidRPr="00100087">
        <w:rPr>
          <w:b/>
          <w:bCs/>
          <w:iCs/>
        </w:rPr>
        <w:t>O</w:t>
      </w:r>
      <w:r w:rsidR="00100087">
        <w:rPr>
          <w:bCs/>
          <w:iCs/>
        </w:rPr>
        <w:t>sler)</w:t>
      </w:r>
      <w:r w:rsidR="00B3258B" w:rsidRPr="00062AD5">
        <w:rPr>
          <w:bCs/>
          <w:iCs/>
        </w:rPr>
        <w:t xml:space="preserve">, red, </w:t>
      </w:r>
      <w:r w:rsidR="008C0224" w:rsidRPr="00062AD5">
        <w:rPr>
          <w:bCs/>
          <w:iCs/>
        </w:rPr>
        <w:t>violaceous</w:t>
      </w:r>
      <w:r w:rsidR="00B3258B" w:rsidRPr="00062AD5">
        <w:rPr>
          <w:bCs/>
          <w:iCs/>
        </w:rPr>
        <w:t xml:space="preserve"> raised lesions on pads of fingers and toes (reflect vascular occlusion by microthrombi that cause immune-mediated vasculitis)</w:t>
      </w:r>
    </w:p>
    <w:p w14:paraId="26197EB0" w14:textId="77777777" w:rsidR="00B3258B" w:rsidRPr="00062AD5" w:rsidRDefault="00C45761" w:rsidP="003970C8">
      <w:pPr>
        <w:pStyle w:val="Body"/>
        <w:spacing w:after="0"/>
        <w:ind w:firstLine="720"/>
        <w:rPr>
          <w:bCs/>
          <w:iCs/>
        </w:rPr>
      </w:pPr>
      <w:r>
        <w:rPr>
          <w:bCs/>
          <w:iCs/>
        </w:rPr>
        <w:t>- Splinter hemorrhages (8</w:t>
      </w:r>
      <w:r w:rsidR="00B3258B" w:rsidRPr="00062AD5">
        <w:rPr>
          <w:bCs/>
          <w:iCs/>
        </w:rPr>
        <w:t>%)</w:t>
      </w:r>
    </w:p>
    <w:p w14:paraId="13D8DAD7" w14:textId="77777777" w:rsidR="00B3258B" w:rsidRPr="00062AD5" w:rsidRDefault="00B3258B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  <w:u w:val="single"/>
        </w:rPr>
        <w:t>Neuro</w:t>
      </w:r>
      <w:r w:rsidRPr="00062AD5">
        <w:rPr>
          <w:bCs/>
          <w:iCs/>
        </w:rPr>
        <w:t xml:space="preserve">: </w:t>
      </w:r>
    </w:p>
    <w:p w14:paraId="1A78809C" w14:textId="1BEA9520" w:rsidR="000F7ADA" w:rsidRPr="00062AD5" w:rsidRDefault="00B3258B" w:rsidP="000F7ADA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</w:rPr>
        <w:t>- Signs of abscesses/septic emboli</w:t>
      </w:r>
      <w:r w:rsidR="00C36A05" w:rsidRPr="00062AD5">
        <w:rPr>
          <w:bCs/>
          <w:iCs/>
        </w:rPr>
        <w:t xml:space="preserve"> –</w:t>
      </w:r>
      <w:r w:rsidRPr="00062AD5">
        <w:rPr>
          <w:bCs/>
          <w:iCs/>
        </w:rPr>
        <w:t xml:space="preserve"> focal neurologic findings, mental status changes, seizure</w:t>
      </w:r>
    </w:p>
    <w:p w14:paraId="6321ABF4" w14:textId="77777777" w:rsidR="00274758" w:rsidRPr="00062AD5" w:rsidRDefault="00100087" w:rsidP="003970C8">
      <w:pPr>
        <w:pStyle w:val="Body"/>
        <w:spacing w:after="0"/>
        <w:rPr>
          <w:bCs/>
          <w:iCs/>
        </w:rPr>
      </w:pPr>
      <w:r>
        <w:lastRenderedPageBreak/>
        <w:t>*</w:t>
      </w:r>
      <w:r w:rsidR="0036782C">
        <w:t>I</w:t>
      </w:r>
      <w:r w:rsidR="00274758" w:rsidRPr="00062AD5">
        <w:t xml:space="preserve">mmunological phenomena uncommon in acute IE, more characteristic of the more insidious subacute form of untreated IE.  </w:t>
      </w:r>
      <w:r w:rsidR="00274758" w:rsidRPr="00100087">
        <w:rPr>
          <w:u w:val="single"/>
        </w:rPr>
        <w:t>Also, right-sided IE usually does not cause peripheral emboli and immunological phenomena.</w:t>
      </w:r>
    </w:p>
    <w:p w14:paraId="62486C05" w14:textId="77777777" w:rsidR="00274758" w:rsidRPr="00062AD5" w:rsidRDefault="00274758" w:rsidP="003970C8">
      <w:pPr>
        <w:pStyle w:val="Body"/>
        <w:spacing w:after="0"/>
        <w:rPr>
          <w:bCs/>
          <w:iCs/>
        </w:rPr>
      </w:pPr>
    </w:p>
    <w:p w14:paraId="2A61F49C" w14:textId="77777777" w:rsidR="00C77A14" w:rsidRPr="00062AD5" w:rsidRDefault="00CA0D55" w:rsidP="003970C8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 xml:space="preserve">4. </w:t>
      </w:r>
      <w:r w:rsidR="00F00BA1" w:rsidRPr="00062AD5">
        <w:rPr>
          <w:b/>
          <w:bCs/>
          <w:iCs/>
        </w:rPr>
        <w:t xml:space="preserve">You are admitting this patient to general medicine service.  What work-up do you do?  </w:t>
      </w:r>
    </w:p>
    <w:p w14:paraId="10BA2B53" w14:textId="77777777" w:rsidR="00F00BA1" w:rsidRPr="00062AD5" w:rsidRDefault="00F00BA1" w:rsidP="003970C8">
      <w:pPr>
        <w:pStyle w:val="Body"/>
        <w:spacing w:after="0"/>
        <w:rPr>
          <w:bCs/>
          <w:i/>
          <w:iCs/>
        </w:rPr>
      </w:pPr>
      <w:r w:rsidRPr="00062AD5">
        <w:rPr>
          <w:bCs/>
          <w:i/>
          <w:iCs/>
        </w:rPr>
        <w:t>Ask the learners specifics about why and how they would order things.</w:t>
      </w:r>
      <w:r w:rsidR="00DC716C" w:rsidRPr="00062AD5">
        <w:rPr>
          <w:bCs/>
          <w:i/>
          <w:iCs/>
        </w:rPr>
        <w:t xml:space="preserve"> Ask to consider the close &amp; distant anatomical complications! </w:t>
      </w:r>
    </w:p>
    <w:p w14:paraId="4101652C" w14:textId="77777777" w:rsidR="004B6483" w:rsidRDefault="004B6483" w:rsidP="003970C8">
      <w:pPr>
        <w:pStyle w:val="Body"/>
        <w:spacing w:after="0"/>
        <w:rPr>
          <w:bCs/>
          <w:iCs/>
        </w:rPr>
      </w:pPr>
    </w:p>
    <w:p w14:paraId="5752CD7A" w14:textId="64C57AAF" w:rsidR="00F00BA1" w:rsidRPr="00062AD5" w:rsidRDefault="004B6483" w:rsidP="003970C8">
      <w:pPr>
        <w:pStyle w:val="Body"/>
        <w:spacing w:after="0"/>
        <w:rPr>
          <w:bCs/>
          <w:iCs/>
        </w:rPr>
      </w:pPr>
      <w:r>
        <w:rPr>
          <w:bCs/>
          <w:iCs/>
        </w:rPr>
        <w:t>-</w:t>
      </w:r>
      <w:r w:rsidR="0070165C" w:rsidRPr="00062AD5">
        <w:rPr>
          <w:bCs/>
          <w:iCs/>
        </w:rPr>
        <w:t>EKG –</w:t>
      </w:r>
      <w:r w:rsidR="00DC716C" w:rsidRPr="00062AD5">
        <w:rPr>
          <w:bCs/>
          <w:iCs/>
        </w:rPr>
        <w:t xml:space="preserve"> </w:t>
      </w:r>
      <w:r w:rsidR="0070165C" w:rsidRPr="00062AD5">
        <w:rPr>
          <w:bCs/>
          <w:iCs/>
        </w:rPr>
        <w:t xml:space="preserve">evaluate </w:t>
      </w:r>
      <w:r w:rsidR="00F00BA1" w:rsidRPr="00062AD5">
        <w:rPr>
          <w:bCs/>
          <w:iCs/>
        </w:rPr>
        <w:t xml:space="preserve">for </w:t>
      </w:r>
      <w:r w:rsidR="0015722A" w:rsidRPr="00062AD5">
        <w:rPr>
          <w:bCs/>
          <w:iCs/>
        </w:rPr>
        <w:t xml:space="preserve">syncope (QT prolongation, LAD/LVH in HOCM, </w:t>
      </w:r>
      <w:proofErr w:type="spellStart"/>
      <w:r w:rsidR="0015722A" w:rsidRPr="00062AD5">
        <w:rPr>
          <w:bCs/>
          <w:iCs/>
        </w:rPr>
        <w:t>Brugada</w:t>
      </w:r>
      <w:proofErr w:type="spellEnd"/>
      <w:r w:rsidR="0015722A" w:rsidRPr="00062AD5">
        <w:rPr>
          <w:bCs/>
          <w:iCs/>
        </w:rPr>
        <w:t xml:space="preserve">, WPW, MI, </w:t>
      </w:r>
      <w:proofErr w:type="spellStart"/>
      <w:r w:rsidR="0015722A" w:rsidRPr="00062AD5">
        <w:rPr>
          <w:bCs/>
          <w:iCs/>
        </w:rPr>
        <w:t>etc</w:t>
      </w:r>
      <w:proofErr w:type="spellEnd"/>
      <w:r w:rsidR="0015722A" w:rsidRPr="00062AD5">
        <w:rPr>
          <w:bCs/>
          <w:iCs/>
        </w:rPr>
        <w:t xml:space="preserve">), </w:t>
      </w:r>
      <w:r w:rsidR="00F00BA1" w:rsidRPr="00062AD5">
        <w:rPr>
          <w:bCs/>
          <w:iCs/>
        </w:rPr>
        <w:t>heart block (</w:t>
      </w:r>
      <w:r w:rsidR="00DC716C" w:rsidRPr="00062AD5">
        <w:rPr>
          <w:bCs/>
          <w:iCs/>
        </w:rPr>
        <w:t xml:space="preserve">perhaps from a septal muscle abscess; </w:t>
      </w:r>
      <w:r w:rsidR="00F00BA1" w:rsidRPr="00062AD5">
        <w:rPr>
          <w:bCs/>
          <w:iCs/>
        </w:rPr>
        <w:t>surgery indications later)</w:t>
      </w:r>
      <w:r w:rsidR="0070165C" w:rsidRPr="00062AD5">
        <w:rPr>
          <w:bCs/>
          <w:iCs/>
        </w:rPr>
        <w:t xml:space="preserve"> &amp; PR prolongation</w:t>
      </w:r>
      <w:r w:rsidR="0015722A" w:rsidRPr="00062AD5">
        <w:rPr>
          <w:bCs/>
          <w:iCs/>
        </w:rPr>
        <w:t xml:space="preserve"> (</w:t>
      </w:r>
      <w:r w:rsidR="0070165C" w:rsidRPr="00062AD5">
        <w:rPr>
          <w:bCs/>
          <w:iCs/>
        </w:rPr>
        <w:t>suggests peri-valvular abscess</w:t>
      </w:r>
      <w:r w:rsidR="00DC716C" w:rsidRPr="00062AD5">
        <w:rPr>
          <w:bCs/>
          <w:iCs/>
        </w:rPr>
        <w:t xml:space="preserve">) </w:t>
      </w:r>
    </w:p>
    <w:p w14:paraId="4B99056E" w14:textId="77777777" w:rsidR="00DC716C" w:rsidRPr="00062AD5" w:rsidRDefault="00DC716C" w:rsidP="003970C8">
      <w:pPr>
        <w:pStyle w:val="Body"/>
        <w:spacing w:after="0"/>
        <w:rPr>
          <w:bCs/>
          <w:iCs/>
        </w:rPr>
      </w:pPr>
    </w:p>
    <w:p w14:paraId="48CFC26C" w14:textId="77777777" w:rsidR="00F00BA1" w:rsidRPr="00062AD5" w:rsidRDefault="004B6483" w:rsidP="003970C8">
      <w:pPr>
        <w:pStyle w:val="Body"/>
        <w:spacing w:after="0"/>
        <w:rPr>
          <w:bCs/>
          <w:iCs/>
        </w:rPr>
      </w:pPr>
      <w:r>
        <w:rPr>
          <w:bCs/>
          <w:iCs/>
        </w:rPr>
        <w:t>-</w:t>
      </w:r>
      <w:r w:rsidR="00F00BA1" w:rsidRPr="00062AD5">
        <w:rPr>
          <w:bCs/>
          <w:iCs/>
        </w:rPr>
        <w:t>Blood Cultures</w:t>
      </w:r>
    </w:p>
    <w:p w14:paraId="3D54D917" w14:textId="77777777" w:rsidR="00F00BA1" w:rsidRPr="00062AD5" w:rsidRDefault="00F00BA1" w:rsidP="003970C8">
      <w:pPr>
        <w:spacing w:after="0"/>
        <w:ind w:left="720"/>
      </w:pPr>
      <w:r w:rsidRPr="00062AD5">
        <w:rPr>
          <w:bCs/>
          <w:iCs/>
          <w:u w:val="single"/>
        </w:rPr>
        <w:t>Guideline</w:t>
      </w:r>
      <w:r w:rsidRPr="00062AD5">
        <w:rPr>
          <w:bCs/>
          <w:iCs/>
        </w:rPr>
        <w:t xml:space="preserve">: </w:t>
      </w:r>
      <w:r w:rsidR="007622BE">
        <w:rPr>
          <w:bCs/>
          <w:iCs/>
        </w:rPr>
        <w:t xml:space="preserve">Before starting </w:t>
      </w:r>
      <w:proofErr w:type="spellStart"/>
      <w:r w:rsidR="007622BE">
        <w:rPr>
          <w:bCs/>
          <w:iCs/>
        </w:rPr>
        <w:t>abx</w:t>
      </w:r>
      <w:proofErr w:type="spellEnd"/>
      <w:r w:rsidR="007622BE">
        <w:rPr>
          <w:bCs/>
          <w:iCs/>
        </w:rPr>
        <w:t xml:space="preserve"> a</w:t>
      </w:r>
      <w:r w:rsidRPr="00062AD5">
        <w:t xml:space="preserve">t least 3 sets of </w:t>
      </w:r>
      <w:proofErr w:type="spellStart"/>
      <w:r w:rsidRPr="00062AD5">
        <w:t>BCx</w:t>
      </w:r>
      <w:proofErr w:type="spellEnd"/>
      <w:r w:rsidRPr="00062AD5">
        <w:t xml:space="preserve"> obtained from different venipuncture sites should be obtained, with the first and last samples drawn at least 1 hour apart. Class I, Level A. </w:t>
      </w:r>
    </w:p>
    <w:p w14:paraId="7A3B8CF4" w14:textId="77777777" w:rsidR="00F00BA1" w:rsidRPr="00062AD5" w:rsidRDefault="00F00BA1" w:rsidP="003970C8">
      <w:pPr>
        <w:spacing w:after="0"/>
        <w:ind w:firstLine="720"/>
      </w:pPr>
      <w:r w:rsidRPr="00062AD5">
        <w:rPr>
          <w:u w:val="single"/>
        </w:rPr>
        <w:t>Point</w:t>
      </w:r>
      <w:r w:rsidRPr="00062AD5">
        <w:t xml:space="preserve">: Multiple </w:t>
      </w:r>
      <w:proofErr w:type="spellStart"/>
      <w:r w:rsidRPr="00062AD5">
        <w:t>BCx</w:t>
      </w:r>
      <w:proofErr w:type="spellEnd"/>
      <w:r w:rsidRPr="00062AD5">
        <w:t xml:space="preserve"> across time, documents persistent bacteremia.</w:t>
      </w:r>
    </w:p>
    <w:p w14:paraId="16735E9F" w14:textId="77777777" w:rsidR="00F00BA1" w:rsidRDefault="005D43E8" w:rsidP="00312373">
      <w:pPr>
        <w:spacing w:after="0"/>
        <w:ind w:left="720"/>
        <w:rPr>
          <w:i/>
        </w:rPr>
      </w:pPr>
      <w:r w:rsidRPr="00062AD5">
        <w:rPr>
          <w:i/>
        </w:rPr>
        <w:t xml:space="preserve">Note: If learners bring it up </w:t>
      </w:r>
      <w:r w:rsidR="004A382E" w:rsidRPr="00062AD5">
        <w:rPr>
          <w:i/>
        </w:rPr>
        <w:t xml:space="preserve">you </w:t>
      </w:r>
      <w:r w:rsidRPr="00062AD5">
        <w:rPr>
          <w:i/>
        </w:rPr>
        <w:t>c</w:t>
      </w:r>
      <w:r w:rsidR="00F00BA1" w:rsidRPr="00062AD5">
        <w:rPr>
          <w:i/>
        </w:rPr>
        <w:t xml:space="preserve">an look at modified Duke Criteria to see how this relates.  </w:t>
      </w:r>
    </w:p>
    <w:p w14:paraId="1299C43A" w14:textId="77777777" w:rsidR="00312373" w:rsidRPr="00062AD5" w:rsidRDefault="00312373" w:rsidP="00312373">
      <w:pPr>
        <w:spacing w:after="0"/>
        <w:ind w:left="720"/>
        <w:rPr>
          <w:bCs/>
          <w:iCs/>
        </w:rPr>
      </w:pPr>
    </w:p>
    <w:p w14:paraId="6285DBA3" w14:textId="77777777" w:rsidR="00F00BA1" w:rsidRPr="00062AD5" w:rsidRDefault="004B6483" w:rsidP="003970C8">
      <w:pPr>
        <w:pStyle w:val="Body"/>
        <w:spacing w:after="0"/>
        <w:rPr>
          <w:bCs/>
          <w:iCs/>
        </w:rPr>
      </w:pPr>
      <w:r>
        <w:rPr>
          <w:bCs/>
          <w:iCs/>
        </w:rPr>
        <w:t>-</w:t>
      </w:r>
      <w:r w:rsidR="00F00BA1" w:rsidRPr="00062AD5">
        <w:rPr>
          <w:bCs/>
          <w:iCs/>
        </w:rPr>
        <w:t>Echo</w:t>
      </w:r>
      <w:r w:rsidR="00D00AB0" w:rsidRPr="00062AD5">
        <w:rPr>
          <w:bCs/>
          <w:iCs/>
        </w:rPr>
        <w:t>cardiogram –</w:t>
      </w:r>
      <w:r w:rsidR="00510C7C" w:rsidRPr="00062AD5">
        <w:rPr>
          <w:bCs/>
          <w:iCs/>
        </w:rPr>
        <w:t xml:space="preserve"> </w:t>
      </w:r>
      <w:r w:rsidR="00D00AB0" w:rsidRPr="00062AD5">
        <w:rPr>
          <w:bCs/>
          <w:iCs/>
        </w:rPr>
        <w:t>Transthoracic</w:t>
      </w:r>
    </w:p>
    <w:p w14:paraId="6ACC6EF8" w14:textId="77777777" w:rsidR="00510C7C" w:rsidRPr="00062AD5" w:rsidRDefault="00510C7C" w:rsidP="003970C8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  <w:u w:val="single"/>
        </w:rPr>
        <w:t>Guideline</w:t>
      </w:r>
      <w:r w:rsidRPr="00062AD5">
        <w:rPr>
          <w:bCs/>
          <w:iCs/>
        </w:rPr>
        <w:t>: TTE should be performed in all cases of suspected IE. Class I, Level B.</w:t>
      </w:r>
    </w:p>
    <w:p w14:paraId="7BCDC81E" w14:textId="77777777" w:rsidR="00510C7C" w:rsidRPr="00062AD5" w:rsidRDefault="00510C7C" w:rsidP="003970C8">
      <w:pPr>
        <w:pStyle w:val="Body"/>
        <w:spacing w:after="0"/>
        <w:ind w:left="720"/>
        <w:rPr>
          <w:bCs/>
          <w:i/>
          <w:iCs/>
        </w:rPr>
      </w:pPr>
      <w:r w:rsidRPr="00062AD5">
        <w:rPr>
          <w:bCs/>
          <w:i/>
          <w:iCs/>
        </w:rPr>
        <w:t xml:space="preserve">Not everyone needs a TEE as TTE may be positive.  Some individuals are considered higher risk and will also need a TEE.  Additionally, patients with </w:t>
      </w:r>
      <w:proofErr w:type="gramStart"/>
      <w:r w:rsidRPr="00062AD5">
        <w:rPr>
          <w:bCs/>
          <w:i/>
          <w:iCs/>
        </w:rPr>
        <w:t>high risk</w:t>
      </w:r>
      <w:proofErr w:type="gramEnd"/>
      <w:r w:rsidRPr="00062AD5">
        <w:rPr>
          <w:bCs/>
          <w:i/>
          <w:iCs/>
        </w:rPr>
        <w:t xml:space="preserve"> transthoracic echo features should also undergo TEE.</w:t>
      </w:r>
      <w:r w:rsidR="00B42AE1" w:rsidRPr="00062AD5">
        <w:rPr>
          <w:bCs/>
          <w:i/>
          <w:iCs/>
        </w:rPr>
        <w:t xml:space="preserve">  </w:t>
      </w:r>
      <w:r w:rsidR="00B42AE1" w:rsidRPr="00062AD5">
        <w:rPr>
          <w:b/>
          <w:bCs/>
          <w:i/>
          <w:iCs/>
        </w:rPr>
        <w:t xml:space="preserve">We will be discussing more details about high initial patient risk and </w:t>
      </w:r>
      <w:proofErr w:type="gramStart"/>
      <w:r w:rsidR="00B42AE1" w:rsidRPr="00062AD5">
        <w:rPr>
          <w:b/>
          <w:bCs/>
          <w:i/>
          <w:iCs/>
        </w:rPr>
        <w:t>high risk</w:t>
      </w:r>
      <w:proofErr w:type="gramEnd"/>
      <w:r w:rsidR="00B42AE1" w:rsidRPr="00062AD5">
        <w:rPr>
          <w:b/>
          <w:bCs/>
          <w:i/>
          <w:iCs/>
        </w:rPr>
        <w:t xml:space="preserve"> echo features later.</w:t>
      </w:r>
    </w:p>
    <w:p w14:paraId="20A1F1DB" w14:textId="25F3FB61" w:rsidR="00510C7C" w:rsidRDefault="00510C7C" w:rsidP="003970C8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  <w:u w:val="single"/>
        </w:rPr>
        <w:t>Point</w:t>
      </w:r>
      <w:r w:rsidRPr="00062AD5">
        <w:rPr>
          <w:bCs/>
          <w:iCs/>
        </w:rPr>
        <w:t xml:space="preserve">: </w:t>
      </w:r>
      <w:r w:rsidR="00084300">
        <w:rPr>
          <w:bCs/>
          <w:iCs/>
        </w:rPr>
        <w:t>Start</w:t>
      </w:r>
      <w:r w:rsidRPr="00062AD5">
        <w:rPr>
          <w:bCs/>
          <w:iCs/>
        </w:rPr>
        <w:t xml:space="preserve"> with TTE.  If</w:t>
      </w:r>
      <w:r w:rsidR="00E02353" w:rsidRPr="00062AD5">
        <w:rPr>
          <w:bCs/>
          <w:iCs/>
        </w:rPr>
        <w:t xml:space="preserve"> high initial patient risk, </w:t>
      </w:r>
      <w:r w:rsidRPr="00062AD5">
        <w:rPr>
          <w:bCs/>
          <w:iCs/>
        </w:rPr>
        <w:t xml:space="preserve">still get TTE but </w:t>
      </w:r>
      <w:r w:rsidR="00E02353" w:rsidRPr="00062AD5">
        <w:rPr>
          <w:bCs/>
          <w:iCs/>
        </w:rPr>
        <w:t>get</w:t>
      </w:r>
      <w:r w:rsidRPr="00062AD5">
        <w:rPr>
          <w:bCs/>
          <w:iCs/>
        </w:rPr>
        <w:t xml:space="preserve"> TEE ASAP after.</w:t>
      </w:r>
    </w:p>
    <w:p w14:paraId="4DDBEF00" w14:textId="77777777" w:rsidR="00B42AE1" w:rsidRPr="00062AD5" w:rsidRDefault="00B42AE1" w:rsidP="003970C8">
      <w:pPr>
        <w:pStyle w:val="Body"/>
        <w:spacing w:after="0"/>
        <w:rPr>
          <w:bCs/>
          <w:i/>
          <w:iCs/>
        </w:rPr>
      </w:pPr>
    </w:p>
    <w:p w14:paraId="391AEF6F" w14:textId="77777777" w:rsidR="00510C7C" w:rsidRPr="00062AD5" w:rsidRDefault="00352137" w:rsidP="003970C8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 xml:space="preserve"> </w:t>
      </w:r>
      <w:r w:rsidR="004B6483">
        <w:rPr>
          <w:bCs/>
          <w:iCs/>
        </w:rPr>
        <w:t>-</w:t>
      </w:r>
      <w:r w:rsidRPr="00062AD5">
        <w:rPr>
          <w:bCs/>
          <w:iCs/>
        </w:rPr>
        <w:t>Evaluate for other potential sources of infection</w:t>
      </w:r>
      <w:r w:rsidR="004820A4" w:rsidRPr="00062AD5">
        <w:rPr>
          <w:bCs/>
          <w:iCs/>
        </w:rPr>
        <w:t xml:space="preserve"> and/or complications</w:t>
      </w:r>
    </w:p>
    <w:p w14:paraId="69AAA556" w14:textId="7283D212" w:rsidR="00F00BA1" w:rsidRPr="00062AD5" w:rsidRDefault="00273F5A" w:rsidP="000470D3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ab/>
        <w:t>CXR, UA</w:t>
      </w:r>
    </w:p>
    <w:p w14:paraId="3461D779" w14:textId="77777777" w:rsidR="0015722A" w:rsidRPr="00062AD5" w:rsidRDefault="0015722A" w:rsidP="003970C8">
      <w:pPr>
        <w:pStyle w:val="Body"/>
        <w:spacing w:after="0"/>
        <w:rPr>
          <w:b/>
          <w:bCs/>
          <w:iCs/>
        </w:rPr>
      </w:pPr>
    </w:p>
    <w:p w14:paraId="1BAF3ED8" w14:textId="77777777" w:rsidR="000A3C10" w:rsidRPr="00062AD5" w:rsidRDefault="000A3C10" w:rsidP="003970C8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>5. What organisms are you concerned about?</w:t>
      </w:r>
      <w:r w:rsidR="004820A4" w:rsidRPr="00062AD5">
        <w:rPr>
          <w:b/>
          <w:bCs/>
          <w:iCs/>
        </w:rPr>
        <w:t xml:space="preserve">  What empiric antibiotics would </w:t>
      </w:r>
      <w:r w:rsidRPr="00062AD5">
        <w:rPr>
          <w:b/>
          <w:bCs/>
          <w:iCs/>
        </w:rPr>
        <w:t>you start?</w:t>
      </w:r>
    </w:p>
    <w:p w14:paraId="6D5302B8" w14:textId="77777777" w:rsidR="00F76CE6" w:rsidRPr="00062AD5" w:rsidRDefault="00F76CE6" w:rsidP="003970C8">
      <w:pPr>
        <w:pStyle w:val="Body"/>
        <w:spacing w:after="0"/>
        <w:rPr>
          <w:bCs/>
          <w:iCs/>
          <w:u w:val="single"/>
        </w:rPr>
      </w:pPr>
      <w:r w:rsidRPr="00062AD5">
        <w:rPr>
          <w:bCs/>
          <w:iCs/>
          <w:u w:val="single"/>
        </w:rPr>
        <w:t>Organisms:</w:t>
      </w:r>
    </w:p>
    <w:p w14:paraId="27DDA9EC" w14:textId="77777777" w:rsidR="000A3C10" w:rsidRPr="00062AD5" w:rsidRDefault="00F76CE6" w:rsidP="00F76CE6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</w:rPr>
        <w:t xml:space="preserve">- </w:t>
      </w:r>
      <w:r w:rsidR="000A3C10" w:rsidRPr="00062AD5">
        <w:rPr>
          <w:bCs/>
          <w:iCs/>
        </w:rPr>
        <w:t xml:space="preserve">IVDU: Staph aureus (MRSA or MSSA), </w:t>
      </w:r>
      <w:proofErr w:type="spellStart"/>
      <w:r w:rsidR="000A3C10" w:rsidRPr="00062AD5">
        <w:rPr>
          <w:bCs/>
          <w:iCs/>
        </w:rPr>
        <w:t>Coag</w:t>
      </w:r>
      <w:proofErr w:type="spellEnd"/>
      <w:r w:rsidR="000A3C10" w:rsidRPr="00062AD5">
        <w:rPr>
          <w:bCs/>
          <w:iCs/>
        </w:rPr>
        <w:t xml:space="preserve"> neg Staph, </w:t>
      </w:r>
      <w:r w:rsidR="000A3C10" w:rsidRPr="00062AD5">
        <w:t>β-hemolytic Strep, Aerobic Gram Neg Bacilli (including Pseudomonas)</w:t>
      </w:r>
    </w:p>
    <w:p w14:paraId="242FCFB1" w14:textId="77777777" w:rsidR="000A3C10" w:rsidRDefault="00F76CE6" w:rsidP="00F76CE6">
      <w:pPr>
        <w:pStyle w:val="Body"/>
        <w:spacing w:after="0"/>
        <w:ind w:firstLine="720"/>
      </w:pPr>
      <w:r w:rsidRPr="00062AD5">
        <w:rPr>
          <w:bCs/>
          <w:iCs/>
        </w:rPr>
        <w:t xml:space="preserve">- </w:t>
      </w:r>
      <w:r w:rsidR="000A3C10" w:rsidRPr="00062AD5">
        <w:rPr>
          <w:bCs/>
          <w:iCs/>
        </w:rPr>
        <w:t xml:space="preserve">Poor dentition: </w:t>
      </w:r>
      <w:r w:rsidR="000A3C10" w:rsidRPr="00062AD5">
        <w:t>Viridian Group Strep, Streptococci, HACEK organisms</w:t>
      </w:r>
    </w:p>
    <w:p w14:paraId="71BCEF37" w14:textId="51638766" w:rsidR="004F3E93" w:rsidRDefault="004B6483" w:rsidP="00F76CE6">
      <w:pPr>
        <w:pStyle w:val="Body"/>
        <w:spacing w:after="0"/>
        <w:ind w:firstLine="720"/>
      </w:pPr>
      <w:r>
        <w:t>- E</w:t>
      </w:r>
      <w:r w:rsidR="004F3E93">
        <w:t xml:space="preserve">nterococcal </w:t>
      </w:r>
    </w:p>
    <w:p w14:paraId="724E4591" w14:textId="3FCFD2FF" w:rsidR="004C1D18" w:rsidRDefault="004C1D18" w:rsidP="00F76CE6">
      <w:pPr>
        <w:pStyle w:val="Body"/>
        <w:spacing w:after="0"/>
        <w:ind w:firstLine="720"/>
      </w:pPr>
    </w:p>
    <w:p w14:paraId="22DE5C47" w14:textId="2DB5AF68" w:rsidR="004C1D18" w:rsidRDefault="004C1D18" w:rsidP="004C1D18">
      <w:pPr>
        <w:pStyle w:val="Body"/>
        <w:spacing w:after="0"/>
      </w:pPr>
      <w:r w:rsidRPr="00114D46">
        <w:rPr>
          <w:i/>
        </w:rPr>
        <w:t>Reminder</w:t>
      </w:r>
      <w:r>
        <w:t xml:space="preserve">: HACEK organisms: Small fastidious </w:t>
      </w:r>
      <w:proofErr w:type="gramStart"/>
      <w:r>
        <w:t>gram negative</w:t>
      </w:r>
      <w:proofErr w:type="gramEnd"/>
      <w:r>
        <w:t xml:space="preserve"> bacilli. </w:t>
      </w:r>
      <w:proofErr w:type="spellStart"/>
      <w:r>
        <w:t>Haemophilus</w:t>
      </w:r>
      <w:proofErr w:type="spellEnd"/>
      <w:r>
        <w:t xml:space="preserve"> spp. </w:t>
      </w:r>
      <w:proofErr w:type="spellStart"/>
      <w:r>
        <w:t>Aggregatibacter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, </w:t>
      </w:r>
      <w:proofErr w:type="spellStart"/>
      <w:r>
        <w:t>Cardiobacterium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, </w:t>
      </w:r>
      <w:proofErr w:type="spellStart"/>
      <w:r>
        <w:t>Eikenella</w:t>
      </w:r>
      <w:proofErr w:type="spellEnd"/>
      <w:r>
        <w:t xml:space="preserve">, </w:t>
      </w:r>
      <w:proofErr w:type="spellStart"/>
      <w:r>
        <w:t>Kingella</w:t>
      </w:r>
      <w:proofErr w:type="spellEnd"/>
      <w:r>
        <w:t xml:space="preserve"> </w:t>
      </w:r>
      <w:proofErr w:type="spellStart"/>
      <w:r>
        <w:t>spp</w:t>
      </w:r>
      <w:proofErr w:type="spellEnd"/>
    </w:p>
    <w:p w14:paraId="3CF2D8B6" w14:textId="77777777" w:rsidR="004B6483" w:rsidRPr="00062AD5" w:rsidRDefault="004B6483" w:rsidP="00F76CE6">
      <w:pPr>
        <w:pStyle w:val="Body"/>
        <w:spacing w:after="0"/>
        <w:ind w:firstLine="720"/>
      </w:pPr>
    </w:p>
    <w:p w14:paraId="4DED2534" w14:textId="77777777" w:rsidR="000A3C10" w:rsidRPr="00062AD5" w:rsidRDefault="000A3C10" w:rsidP="003970C8">
      <w:pPr>
        <w:pStyle w:val="Body"/>
        <w:spacing w:after="0"/>
        <w:rPr>
          <w:bCs/>
          <w:iCs/>
          <w:u w:val="single"/>
        </w:rPr>
      </w:pPr>
      <w:r w:rsidRPr="00062AD5">
        <w:rPr>
          <w:bCs/>
          <w:iCs/>
          <w:u w:val="single"/>
        </w:rPr>
        <w:t xml:space="preserve">Antibiotics: </w:t>
      </w:r>
    </w:p>
    <w:p w14:paraId="0BBBB10B" w14:textId="77777777" w:rsidR="004B6483" w:rsidRPr="004B6483" w:rsidRDefault="000A3C10" w:rsidP="003970C8">
      <w:pPr>
        <w:pStyle w:val="Body"/>
        <w:numPr>
          <w:ilvl w:val="0"/>
          <w:numId w:val="34"/>
        </w:numPr>
        <w:spacing w:after="0"/>
        <w:rPr>
          <w:bCs/>
          <w:iCs/>
        </w:rPr>
      </w:pPr>
      <w:r w:rsidRPr="00062AD5">
        <w:rPr>
          <w:bCs/>
          <w:iCs/>
        </w:rPr>
        <w:t>Need to cover S</w:t>
      </w:r>
      <w:r w:rsidR="00216F59" w:rsidRPr="00062AD5">
        <w:rPr>
          <w:bCs/>
          <w:iCs/>
        </w:rPr>
        <w:t>taph/Strep including potential m</w:t>
      </w:r>
      <w:r w:rsidRPr="00062AD5">
        <w:rPr>
          <w:bCs/>
          <w:iCs/>
        </w:rPr>
        <w:t>ethi</w:t>
      </w:r>
      <w:r w:rsidR="00F76CE6" w:rsidRPr="00062AD5">
        <w:rPr>
          <w:bCs/>
          <w:iCs/>
        </w:rPr>
        <w:t xml:space="preserve">cillin-resistance organisms -&gt; </w:t>
      </w:r>
      <w:proofErr w:type="gramStart"/>
      <w:r w:rsidR="00476F95" w:rsidRPr="004C1D18">
        <w:rPr>
          <w:bCs/>
          <w:iCs/>
        </w:rPr>
        <w:t>Vancomycin</w:t>
      </w:r>
      <w:proofErr w:type="gramEnd"/>
    </w:p>
    <w:p w14:paraId="13903F9A" w14:textId="0C205D22" w:rsidR="00F76CE6" w:rsidRDefault="00F76CE6" w:rsidP="004B6483">
      <w:pPr>
        <w:pStyle w:val="Body"/>
        <w:numPr>
          <w:ilvl w:val="0"/>
          <w:numId w:val="34"/>
        </w:numPr>
        <w:spacing w:after="0"/>
        <w:rPr>
          <w:bCs/>
          <w:iCs/>
        </w:rPr>
      </w:pPr>
      <w:r w:rsidRPr="00062AD5">
        <w:rPr>
          <w:bCs/>
          <w:iCs/>
        </w:rPr>
        <w:t>Cover gram negative bacilli</w:t>
      </w:r>
      <w:r w:rsidR="004C1D18">
        <w:rPr>
          <w:bCs/>
          <w:iCs/>
        </w:rPr>
        <w:t>. Whether to empirically cover for PSA depends on the patient/clinical picture. For this patient would cover with cefepime</w:t>
      </w:r>
      <w:r w:rsidR="00114D46">
        <w:rPr>
          <w:bCs/>
          <w:iCs/>
        </w:rPr>
        <w:t xml:space="preserve"> or other anti-pseudomonal. </w:t>
      </w:r>
    </w:p>
    <w:p w14:paraId="2A82DE2B" w14:textId="7991D489" w:rsidR="000470D3" w:rsidRDefault="000470D3" w:rsidP="003970C8">
      <w:pPr>
        <w:pStyle w:val="Body"/>
        <w:spacing w:after="0"/>
        <w:rPr>
          <w:bCs/>
          <w:i/>
          <w:iCs/>
        </w:rPr>
      </w:pPr>
    </w:p>
    <w:p w14:paraId="00ED384E" w14:textId="77777777" w:rsidR="00114D46" w:rsidRDefault="00114D46" w:rsidP="003970C8">
      <w:pPr>
        <w:spacing w:after="0"/>
      </w:pPr>
    </w:p>
    <w:p w14:paraId="1C398832" w14:textId="1C3D90EB" w:rsidR="003970C8" w:rsidRPr="00062AD5" w:rsidRDefault="003970C8" w:rsidP="003970C8">
      <w:pPr>
        <w:spacing w:after="0"/>
        <w:rPr>
          <w:b/>
        </w:rPr>
      </w:pPr>
      <w:r w:rsidRPr="07C25BCD">
        <w:rPr>
          <w:b/>
          <w:bCs/>
        </w:rPr>
        <w:lastRenderedPageBreak/>
        <w:t>Case Continued:</w:t>
      </w:r>
    </w:p>
    <w:p w14:paraId="191D96CC" w14:textId="22B2E507" w:rsidR="6DDE26E2" w:rsidRDefault="6DDE26E2" w:rsidP="07C25BCD">
      <w:pPr>
        <w:spacing w:after="0"/>
        <w:rPr>
          <w:rFonts w:cs="Calibri"/>
          <w:color w:val="000000" w:themeColor="text1"/>
        </w:rPr>
      </w:pPr>
      <w:r w:rsidRPr="07C25BCD">
        <w:rPr>
          <w:rFonts w:cs="Calibri"/>
          <w:color w:val="000000" w:themeColor="text1"/>
        </w:rPr>
        <w:t>CXR was normal.  UA was negative for blood, RBCs, WBCs, LE and nitrites.  ECG shows NSR.  It’s the next morning and you are seeing your patient on pre-rounds.  In the quiet of the 7NW bed you now notice a new 2/6 blowing diastolic decrescendo murmur at the 3</w:t>
      </w:r>
      <w:r w:rsidRPr="07C25BCD">
        <w:rPr>
          <w:rFonts w:cs="Calibri"/>
          <w:color w:val="000000" w:themeColor="text1"/>
          <w:vertAlign w:val="superscript"/>
        </w:rPr>
        <w:t>rd</w:t>
      </w:r>
      <w:r w:rsidRPr="07C25BCD">
        <w:rPr>
          <w:rFonts w:cs="Calibri"/>
          <w:color w:val="000000" w:themeColor="text1"/>
        </w:rPr>
        <w:t xml:space="preserve"> left ICS which increases with isometric hand grip.  The patient has just come back from </w:t>
      </w:r>
      <w:proofErr w:type="gramStart"/>
      <w:r w:rsidRPr="07C25BCD">
        <w:rPr>
          <w:rFonts w:cs="Calibri"/>
          <w:color w:val="000000" w:themeColor="text1"/>
        </w:rPr>
        <w:t>TTE</w:t>
      </w:r>
      <w:proofErr w:type="gramEnd"/>
      <w:r w:rsidRPr="07C25BCD">
        <w:rPr>
          <w:rFonts w:cs="Calibri"/>
          <w:color w:val="000000" w:themeColor="text1"/>
        </w:rPr>
        <w:t xml:space="preserve"> but the results aren’t back yet.</w:t>
      </w:r>
    </w:p>
    <w:p w14:paraId="3ABA6A23" w14:textId="49B8241B" w:rsidR="07C25BCD" w:rsidRDefault="07C25BCD" w:rsidP="07C25BCD">
      <w:pPr>
        <w:spacing w:after="0"/>
      </w:pPr>
    </w:p>
    <w:p w14:paraId="4B33FC40" w14:textId="081A6AC4" w:rsidR="00227D04" w:rsidRPr="00062AD5" w:rsidRDefault="004820A4" w:rsidP="07C25BCD">
      <w:pPr>
        <w:spacing w:after="0"/>
        <w:rPr>
          <w:b/>
          <w:bCs/>
        </w:rPr>
      </w:pPr>
      <w:r w:rsidRPr="07C25BCD">
        <w:rPr>
          <w:b/>
          <w:bCs/>
        </w:rPr>
        <w:t xml:space="preserve">6.  How does this change your </w:t>
      </w:r>
      <w:r w:rsidR="00227D04" w:rsidRPr="07C25BCD">
        <w:rPr>
          <w:b/>
          <w:bCs/>
        </w:rPr>
        <w:t>plan?</w:t>
      </w:r>
    </w:p>
    <w:p w14:paraId="7DF343C1" w14:textId="77777777" w:rsidR="004820A4" w:rsidRPr="00062AD5" w:rsidRDefault="004820A4" w:rsidP="00227D04">
      <w:pPr>
        <w:spacing w:after="0"/>
      </w:pPr>
      <w:r w:rsidRPr="00062AD5">
        <w:t>The patient now should get a TEE regardless of the findings</w:t>
      </w:r>
      <w:r w:rsidR="00B42AE1" w:rsidRPr="00062AD5">
        <w:t xml:space="preserve"> on TTE as they are considered</w:t>
      </w:r>
      <w:r w:rsidRPr="00062AD5">
        <w:t xml:space="preserve"> high initial patient risk.</w:t>
      </w:r>
    </w:p>
    <w:p w14:paraId="08CE6F91" w14:textId="77777777" w:rsidR="00227D04" w:rsidRPr="00062AD5" w:rsidRDefault="00227D04" w:rsidP="00227D04">
      <w:pPr>
        <w:spacing w:after="0"/>
        <w:rPr>
          <w:b/>
        </w:rPr>
      </w:pPr>
    </w:p>
    <w:p w14:paraId="5A302D7F" w14:textId="77777777" w:rsidR="004820A4" w:rsidRPr="00062AD5" w:rsidRDefault="004820A4" w:rsidP="004820A4">
      <w:pPr>
        <w:pStyle w:val="Body"/>
        <w:spacing w:after="0"/>
        <w:ind w:left="720"/>
        <w:rPr>
          <w:bCs/>
          <w:iCs/>
        </w:rPr>
      </w:pPr>
      <w:r w:rsidRPr="00062AD5">
        <w:rPr>
          <w:bCs/>
          <w:iCs/>
          <w:u w:val="single"/>
        </w:rPr>
        <w:t>Follow-up question</w:t>
      </w:r>
      <w:r w:rsidRPr="00062AD5">
        <w:rPr>
          <w:bCs/>
          <w:iCs/>
        </w:rPr>
        <w:t>: Who is considered high initial patient risk?</w:t>
      </w:r>
    </w:p>
    <w:p w14:paraId="7035924F" w14:textId="0F2350E4" w:rsidR="000470D3" w:rsidRPr="00062AD5" w:rsidRDefault="004820A4" w:rsidP="000470D3">
      <w:pPr>
        <w:pStyle w:val="Body"/>
        <w:spacing w:after="0"/>
        <w:ind w:left="1440"/>
        <w:rPr>
          <w:bCs/>
          <w:iCs/>
        </w:rPr>
      </w:pPr>
      <w:r w:rsidRPr="00062AD5">
        <w:rPr>
          <w:bCs/>
          <w:iCs/>
        </w:rPr>
        <w:t>Answer: prosthetic valves, many congenital heart conditions, prior endocarditis, new murmur, heart failure, and stigmata of endocarditis.</w:t>
      </w:r>
    </w:p>
    <w:p w14:paraId="61CDCEAD" w14:textId="77777777" w:rsidR="004820A4" w:rsidRPr="00062AD5" w:rsidRDefault="004820A4" w:rsidP="00B42AE1">
      <w:pPr>
        <w:pStyle w:val="Body"/>
        <w:spacing w:after="0"/>
        <w:rPr>
          <w:bCs/>
          <w:iCs/>
        </w:rPr>
      </w:pPr>
    </w:p>
    <w:p w14:paraId="4F8F6C51" w14:textId="77777777" w:rsidR="000470D3" w:rsidRPr="00062AD5" w:rsidRDefault="000470D3" w:rsidP="00B42AE1">
      <w:pPr>
        <w:pStyle w:val="Body"/>
        <w:spacing w:after="0"/>
        <w:rPr>
          <w:b/>
          <w:bCs/>
          <w:iCs/>
        </w:rPr>
      </w:pPr>
    </w:p>
    <w:p w14:paraId="3F6F725E" w14:textId="77777777" w:rsidR="00B42AE1" w:rsidRPr="00062AD5" w:rsidRDefault="00B42AE1" w:rsidP="00B42AE1">
      <w:pPr>
        <w:pStyle w:val="Body"/>
        <w:spacing w:after="0"/>
        <w:rPr>
          <w:b/>
          <w:bCs/>
          <w:iCs/>
        </w:rPr>
      </w:pPr>
      <w:r w:rsidRPr="00062AD5">
        <w:rPr>
          <w:b/>
          <w:bCs/>
          <w:iCs/>
        </w:rPr>
        <w:t xml:space="preserve">7. What if instead of hearing a murmur, the TTE returns with findings of </w:t>
      </w:r>
      <w:r w:rsidR="00273F5A" w:rsidRPr="00062AD5">
        <w:rPr>
          <w:b/>
          <w:bCs/>
          <w:iCs/>
        </w:rPr>
        <w:t>a</w:t>
      </w:r>
      <w:r w:rsidR="005C3455" w:rsidRPr="00062AD5">
        <w:rPr>
          <w:b/>
          <w:bCs/>
          <w:iCs/>
        </w:rPr>
        <w:t>n 11</w:t>
      </w:r>
      <w:r w:rsidRPr="00062AD5">
        <w:rPr>
          <w:b/>
          <w:bCs/>
          <w:iCs/>
        </w:rPr>
        <w:t xml:space="preserve"> mm oscillating vegetation on the anterior leaflet of aortic valve?  What is your next step?</w:t>
      </w:r>
    </w:p>
    <w:p w14:paraId="16520F26" w14:textId="77777777" w:rsidR="00B42AE1" w:rsidRPr="00062AD5" w:rsidRDefault="00B42AE1" w:rsidP="00B42AE1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>Obtain a TEE because the patient has high risk echo features.</w:t>
      </w:r>
    </w:p>
    <w:p w14:paraId="23DE523C" w14:textId="77777777" w:rsidR="00B42AE1" w:rsidRPr="00062AD5" w:rsidRDefault="00B42AE1" w:rsidP="00B42AE1">
      <w:pPr>
        <w:pStyle w:val="Body"/>
        <w:spacing w:after="0"/>
        <w:rPr>
          <w:bCs/>
          <w:iCs/>
        </w:rPr>
      </w:pPr>
    </w:p>
    <w:p w14:paraId="4D318629" w14:textId="77777777" w:rsidR="004820A4" w:rsidRPr="00062AD5" w:rsidRDefault="004820A4" w:rsidP="004820A4">
      <w:pPr>
        <w:pStyle w:val="Body"/>
        <w:spacing w:after="0"/>
        <w:rPr>
          <w:bCs/>
          <w:iCs/>
        </w:rPr>
      </w:pPr>
      <w:r w:rsidRPr="00062AD5">
        <w:rPr>
          <w:bCs/>
          <w:iCs/>
        </w:rPr>
        <w:tab/>
      </w:r>
      <w:r w:rsidR="00B42AE1" w:rsidRPr="00062AD5">
        <w:rPr>
          <w:bCs/>
          <w:iCs/>
          <w:u w:val="single"/>
        </w:rPr>
        <w:t>F</w:t>
      </w:r>
      <w:r w:rsidRPr="00062AD5">
        <w:rPr>
          <w:bCs/>
          <w:iCs/>
          <w:u w:val="single"/>
        </w:rPr>
        <w:t>ollow-up question</w:t>
      </w:r>
      <w:r w:rsidRPr="00062AD5">
        <w:rPr>
          <w:bCs/>
          <w:iCs/>
        </w:rPr>
        <w:t xml:space="preserve">: What are the </w:t>
      </w:r>
      <w:proofErr w:type="gramStart"/>
      <w:r w:rsidRPr="00062AD5">
        <w:rPr>
          <w:bCs/>
          <w:iCs/>
        </w:rPr>
        <w:t>high risk</w:t>
      </w:r>
      <w:proofErr w:type="gramEnd"/>
      <w:r w:rsidRPr="00062AD5">
        <w:rPr>
          <w:bCs/>
          <w:iCs/>
        </w:rPr>
        <w:t xml:space="preserve"> echo features?</w:t>
      </w:r>
    </w:p>
    <w:p w14:paraId="5FAB1322" w14:textId="77777777" w:rsidR="00E02353" w:rsidRPr="00062AD5" w:rsidRDefault="004820A4" w:rsidP="009B2C44">
      <w:pPr>
        <w:pStyle w:val="Body"/>
        <w:spacing w:after="0"/>
        <w:ind w:left="1440"/>
        <w:rPr>
          <w:bCs/>
          <w:iCs/>
        </w:rPr>
      </w:pPr>
      <w:r w:rsidRPr="00062AD5">
        <w:rPr>
          <w:bCs/>
          <w:iCs/>
        </w:rPr>
        <w:t>Answer: large vegetations (&gt; 10 mm in diameter), severe valvular insufficiency, abscess cavities or pseudoaneurysms, valvular perforation or dehiscence, and evidence of decompensated heart failure.</w:t>
      </w:r>
    </w:p>
    <w:p w14:paraId="52E56223" w14:textId="77777777" w:rsidR="009B2C44" w:rsidRPr="00062AD5" w:rsidRDefault="009B2C44" w:rsidP="00757982">
      <w:pPr>
        <w:pStyle w:val="Body"/>
        <w:spacing w:after="0"/>
        <w:rPr>
          <w:bCs/>
          <w:iCs/>
        </w:rPr>
      </w:pPr>
    </w:p>
    <w:p w14:paraId="77310DD0" w14:textId="77777777" w:rsidR="2226AB91" w:rsidRDefault="2226AB91" w:rsidP="57FA4B68">
      <w:pPr>
        <w:pStyle w:val="Body"/>
        <w:spacing w:after="0"/>
      </w:pPr>
      <w:r>
        <w:t xml:space="preserve">Point: Patients with </w:t>
      </w:r>
      <w:proofErr w:type="gramStart"/>
      <w:r>
        <w:t>high risk</w:t>
      </w:r>
      <w:proofErr w:type="gramEnd"/>
      <w:r>
        <w:t xml:space="preserve"> echo features on TTE should also undergo TEE for detection of complications.</w:t>
      </w:r>
    </w:p>
    <w:p w14:paraId="6595D10C" w14:textId="79A2E14C" w:rsidR="2226AB91" w:rsidRDefault="2226AB91" w:rsidP="000470D3">
      <w:pPr>
        <w:pStyle w:val="Body"/>
        <w:spacing w:after="0"/>
        <w:rPr>
          <w:i/>
          <w:iCs/>
        </w:rPr>
      </w:pPr>
      <w:r w:rsidRPr="57FA4B68">
        <w:rPr>
          <w:i/>
          <w:iCs/>
        </w:rPr>
        <w:t xml:space="preserve">Note: Below diagram is here for your reference.  </w:t>
      </w:r>
    </w:p>
    <w:p w14:paraId="7E2E5AD3" w14:textId="3E9DCBDA" w:rsidR="00F93323" w:rsidRDefault="00F93323" w:rsidP="07C25BCD">
      <w:pPr>
        <w:pStyle w:val="Body"/>
        <w:spacing w:after="0"/>
        <w:rPr>
          <w:i/>
          <w:iCs/>
        </w:rPr>
      </w:pPr>
    </w:p>
    <w:p w14:paraId="07F8F28D" w14:textId="6C7D1A9C" w:rsidR="00F93323" w:rsidRDefault="31A8D106" w:rsidP="07C25BCD">
      <w:pPr>
        <w:pStyle w:val="Body"/>
        <w:spacing w:after="0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76BEFF1C" wp14:editId="2FE439BA">
            <wp:extent cx="5522391" cy="3174707"/>
            <wp:effectExtent l="0" t="0" r="0" b="0"/>
            <wp:docPr id="9312622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91" cy="31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7D20" w14:textId="77777777" w:rsidR="00114D46" w:rsidRDefault="00114D46" w:rsidP="000470D3">
      <w:pPr>
        <w:pStyle w:val="Body"/>
        <w:spacing w:after="0"/>
        <w:rPr>
          <w:i/>
          <w:iCs/>
        </w:rPr>
      </w:pPr>
    </w:p>
    <w:p w14:paraId="0823385E" w14:textId="0853DF6A" w:rsidR="005C3455" w:rsidRPr="00062AD5" w:rsidRDefault="005C3455" w:rsidP="07C25BCD">
      <w:pPr>
        <w:spacing w:after="0"/>
        <w:rPr>
          <w:b/>
          <w:bCs/>
        </w:rPr>
      </w:pPr>
      <w:r w:rsidRPr="07C25BCD">
        <w:rPr>
          <w:b/>
          <w:bCs/>
        </w:rPr>
        <w:t>Case Continued:</w:t>
      </w:r>
    </w:p>
    <w:p w14:paraId="322C6981" w14:textId="033A6F11" w:rsidR="000929ED" w:rsidRDefault="005C3455" w:rsidP="007C7FBF">
      <w:pPr>
        <w:spacing w:after="0"/>
      </w:pPr>
      <w:r>
        <w:t>Patient undergoes TEE for the new murmur.  TEE shows</w:t>
      </w:r>
      <w:r w:rsidR="00273F5A">
        <w:t xml:space="preserve"> a 7</w:t>
      </w:r>
      <w:r w:rsidR="007C7FBF">
        <w:t xml:space="preserve"> mm vegetation</w:t>
      </w:r>
      <w:r>
        <w:t xml:space="preserve"> on the aortic valve</w:t>
      </w:r>
      <w:r w:rsidR="00F26669">
        <w:t xml:space="preserve"> with moderate aortic regurgitation and EF of 55%</w:t>
      </w:r>
      <w:r w:rsidR="00273F5A">
        <w:t>.</w:t>
      </w:r>
      <w:r w:rsidR="009B2C44">
        <w:t xml:space="preserve">  Then o</w:t>
      </w:r>
      <w:r w:rsidR="0092734B">
        <w:t xml:space="preserve">n hospital day </w:t>
      </w:r>
      <w:r w:rsidR="2E853843">
        <w:t>4</w:t>
      </w:r>
      <w:r w:rsidR="00273F5A">
        <w:t xml:space="preserve"> the team gets called </w:t>
      </w:r>
      <w:r w:rsidR="0092734B">
        <w:t xml:space="preserve">for </w:t>
      </w:r>
      <w:r w:rsidR="009A44A7">
        <w:t>bradycardia</w:t>
      </w:r>
      <w:r w:rsidR="00273F5A">
        <w:t xml:space="preserve"> on tele.</w:t>
      </w:r>
    </w:p>
    <w:p w14:paraId="0DE4B5B7" w14:textId="77777777" w:rsidR="000929ED" w:rsidRDefault="000929ED" w:rsidP="007C7FBF">
      <w:pPr>
        <w:spacing w:after="0"/>
        <w:rPr>
          <w:b/>
        </w:rPr>
      </w:pPr>
    </w:p>
    <w:p w14:paraId="0B369F16" w14:textId="6F023C24" w:rsidR="009A44A7" w:rsidRPr="00062AD5" w:rsidRDefault="0092734B" w:rsidP="007C7FBF">
      <w:pPr>
        <w:spacing w:after="0"/>
        <w:rPr>
          <w:b/>
        </w:rPr>
      </w:pPr>
      <w:r w:rsidRPr="00062AD5">
        <w:rPr>
          <w:b/>
        </w:rPr>
        <w:t>8.  What are</w:t>
      </w:r>
      <w:r w:rsidR="003F0A8B" w:rsidRPr="00062AD5">
        <w:rPr>
          <w:b/>
        </w:rPr>
        <w:t xml:space="preserve"> your next step</w:t>
      </w:r>
      <w:r w:rsidRPr="00062AD5">
        <w:rPr>
          <w:b/>
        </w:rPr>
        <w:t>s</w:t>
      </w:r>
      <w:r w:rsidR="009A44A7" w:rsidRPr="00062AD5">
        <w:rPr>
          <w:b/>
        </w:rPr>
        <w:t>?</w:t>
      </w:r>
      <w:r w:rsidR="007777B5">
        <w:rPr>
          <w:b/>
        </w:rPr>
        <w:t xml:space="preserve"> What do you think is going on?</w:t>
      </w:r>
    </w:p>
    <w:p w14:paraId="4A4550E7" w14:textId="77777777" w:rsidR="003F0A8B" w:rsidRPr="00062AD5" w:rsidRDefault="0092734B" w:rsidP="007C7FBF">
      <w:pPr>
        <w:spacing w:after="0"/>
      </w:pPr>
      <w:r w:rsidRPr="00062AD5">
        <w:t xml:space="preserve">- </w:t>
      </w:r>
      <w:r w:rsidR="003F0A8B" w:rsidRPr="00062AD5">
        <w:t>Obtain a</w:t>
      </w:r>
      <w:r w:rsidR="009B2C44" w:rsidRPr="00062AD5">
        <w:t xml:space="preserve"> repeat</w:t>
      </w:r>
      <w:r w:rsidR="003F0A8B" w:rsidRPr="00062AD5">
        <w:t xml:space="preserve"> TEE because the patient now has</w:t>
      </w:r>
      <w:r w:rsidR="009B2C44" w:rsidRPr="00062AD5">
        <w:t xml:space="preserve"> new</w:t>
      </w:r>
      <w:r w:rsidR="003F0A8B" w:rsidRPr="00062AD5">
        <w:t xml:space="preserve"> </w:t>
      </w:r>
      <w:r w:rsidR="007C7FBF" w:rsidRPr="00062AD5">
        <w:t xml:space="preserve">findings </w:t>
      </w:r>
      <w:r w:rsidR="009B2C44" w:rsidRPr="00062AD5">
        <w:t>consistent with</w:t>
      </w:r>
      <w:r w:rsidR="007C7FBF" w:rsidRPr="00062AD5">
        <w:t xml:space="preserve"> intracardiac complications</w:t>
      </w:r>
      <w:r w:rsidR="009B2C44" w:rsidRPr="00062AD5">
        <w:t>.</w:t>
      </w:r>
    </w:p>
    <w:p w14:paraId="66204FF1" w14:textId="3DFEC878" w:rsidR="0092734B" w:rsidRPr="00062AD5" w:rsidRDefault="00A93FE5" w:rsidP="0092734B">
      <w:pPr>
        <w:spacing w:after="0"/>
        <w:ind w:left="720"/>
      </w:pPr>
      <w:r>
        <w:t>(</w:t>
      </w:r>
      <w:r w:rsidR="0092734B">
        <w:t xml:space="preserve">Repeat TEE: shows vegetation that is </w:t>
      </w:r>
      <w:r w:rsidR="00F26669">
        <w:t>11</w:t>
      </w:r>
      <w:r w:rsidR="0092734B">
        <w:t xml:space="preserve"> mm in size with abscess extending </w:t>
      </w:r>
      <w:r>
        <w:t>into interventricular septum.)</w:t>
      </w:r>
    </w:p>
    <w:p w14:paraId="2DBF0D7D" w14:textId="2BB918CF" w:rsidR="00A93FE5" w:rsidRDefault="0092734B" w:rsidP="007C7FBF">
      <w:pPr>
        <w:spacing w:after="0"/>
      </w:pPr>
      <w:r>
        <w:t>- Consult CT surgery</w:t>
      </w:r>
    </w:p>
    <w:p w14:paraId="58E09B6F" w14:textId="6010C667" w:rsidR="00A93FE5" w:rsidRPr="00062AD5" w:rsidRDefault="00A93FE5" w:rsidP="00A93FE5">
      <w:pPr>
        <w:spacing w:after="0"/>
      </w:pPr>
      <w:r>
        <w:t>-</w:t>
      </w:r>
      <w:r w:rsidR="000470D3">
        <w:t xml:space="preserve"> </w:t>
      </w:r>
      <w:r>
        <w:t>Discuss moving patient to stepdown level of care</w:t>
      </w:r>
    </w:p>
    <w:p w14:paraId="6B62F1B3" w14:textId="77777777" w:rsidR="00A962DE" w:rsidRPr="00062AD5" w:rsidRDefault="00A962DE" w:rsidP="007C7FBF">
      <w:pPr>
        <w:spacing w:after="0"/>
      </w:pPr>
    </w:p>
    <w:p w14:paraId="7B1A58B4" w14:textId="77777777" w:rsidR="00747B02" w:rsidRPr="00062AD5" w:rsidRDefault="00747B02" w:rsidP="007C7FBF">
      <w:pPr>
        <w:spacing w:after="0"/>
        <w:rPr>
          <w:b/>
        </w:rPr>
      </w:pPr>
      <w:r w:rsidRPr="00062AD5">
        <w:rPr>
          <w:b/>
        </w:rPr>
        <w:t xml:space="preserve">9. </w:t>
      </w:r>
      <w:r w:rsidR="00092179" w:rsidRPr="00062AD5">
        <w:rPr>
          <w:b/>
        </w:rPr>
        <w:t xml:space="preserve">Should this person have surgery? </w:t>
      </w:r>
      <w:r w:rsidRPr="00062AD5">
        <w:rPr>
          <w:b/>
        </w:rPr>
        <w:t xml:space="preserve">What </w:t>
      </w:r>
      <w:r w:rsidR="00092179" w:rsidRPr="00062AD5">
        <w:rPr>
          <w:b/>
        </w:rPr>
        <w:t>are the indications for early surgery</w:t>
      </w:r>
      <w:r w:rsidR="00DD2042" w:rsidRPr="00062AD5">
        <w:rPr>
          <w:b/>
        </w:rPr>
        <w:t xml:space="preserve"> in left-sided endocarditis</w:t>
      </w:r>
      <w:r w:rsidR="00092179" w:rsidRPr="00062AD5">
        <w:rPr>
          <w:b/>
        </w:rPr>
        <w:t xml:space="preserve">?  </w:t>
      </w:r>
    </w:p>
    <w:p w14:paraId="3834C8F6" w14:textId="7E984617" w:rsidR="00F26669" w:rsidRDefault="00092179" w:rsidP="00092179">
      <w:pPr>
        <w:spacing w:after="0"/>
      </w:pPr>
      <w:r w:rsidRPr="00062AD5">
        <w:t>Yes, indicated due to the heart block.</w:t>
      </w:r>
      <w:r w:rsidR="00F26669" w:rsidRPr="00062AD5">
        <w:t xml:space="preserve">  Size of vegetation alone is not a definite indication for surgery, although still </w:t>
      </w:r>
      <w:proofErr w:type="gramStart"/>
      <w:r w:rsidR="00F26669" w:rsidRPr="00062AD5">
        <w:t>high risk</w:t>
      </w:r>
      <w:proofErr w:type="gramEnd"/>
      <w:r w:rsidR="00F26669" w:rsidRPr="00062AD5">
        <w:t xml:space="preserve"> echo feature.</w:t>
      </w:r>
    </w:p>
    <w:p w14:paraId="32C5D70B" w14:textId="43CA2C8F" w:rsidR="000470D3" w:rsidRDefault="000470D3" w:rsidP="00092179">
      <w:pPr>
        <w:spacing w:after="0"/>
      </w:pPr>
    </w:p>
    <w:p w14:paraId="3E1C50FA" w14:textId="5F5B574B" w:rsidR="007777B5" w:rsidRDefault="007777B5" w:rsidP="00092179">
      <w:pPr>
        <w:spacing w:after="0"/>
      </w:pPr>
    </w:p>
    <w:p w14:paraId="4E30B53B" w14:textId="77777777" w:rsidR="007777B5" w:rsidRDefault="007777B5" w:rsidP="00092179">
      <w:pPr>
        <w:spacing w:after="0"/>
      </w:pPr>
    </w:p>
    <w:p w14:paraId="0D8E1358" w14:textId="032F9C2B" w:rsidR="000470D3" w:rsidRDefault="000470D3" w:rsidP="00092179">
      <w:pPr>
        <w:spacing w:after="0"/>
      </w:pPr>
      <w:r>
        <w:t xml:space="preserve">Learners have </w:t>
      </w:r>
      <w:r w:rsidR="006E236D">
        <w:t>a blank version of th</w:t>
      </w:r>
      <w:r w:rsidR="007777B5">
        <w:t xml:space="preserve">e following </w:t>
      </w:r>
      <w:r w:rsidR="006E236D">
        <w:t xml:space="preserve">table. Work with your team to fill it in. </w:t>
      </w:r>
    </w:p>
    <w:p w14:paraId="6ABDE809" w14:textId="0A98D24E" w:rsidR="000470D3" w:rsidRPr="00062AD5" w:rsidRDefault="000470D3" w:rsidP="000470D3">
      <w:pPr>
        <w:spacing w:after="0"/>
      </w:pPr>
      <w:r w:rsidRPr="000470D3">
        <w:rPr>
          <w:noProof/>
        </w:rPr>
        <w:lastRenderedPageBreak/>
        <w:drawing>
          <wp:inline distT="0" distB="0" distL="0" distR="0" wp14:anchorId="23C8BE73" wp14:editId="7693A993">
            <wp:extent cx="6400800" cy="2366010"/>
            <wp:effectExtent l="0" t="0" r="0" b="0"/>
            <wp:docPr id="5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creenshot of a cell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C34E" w14:textId="77777777" w:rsidR="00062AD5" w:rsidRPr="00062AD5" w:rsidRDefault="00062AD5" w:rsidP="00092179">
      <w:pPr>
        <w:spacing w:after="0"/>
        <w:rPr>
          <w:i/>
        </w:rPr>
      </w:pPr>
    </w:p>
    <w:p w14:paraId="7CF8CFFF" w14:textId="173E09A7" w:rsidR="00092179" w:rsidRPr="00062AD5" w:rsidRDefault="000470D3" w:rsidP="00092179">
      <w:pPr>
        <w:spacing w:after="0"/>
        <w:rPr>
          <w:u w:val="single"/>
        </w:rPr>
      </w:pPr>
      <w:r>
        <w:rPr>
          <w:u w:val="single"/>
        </w:rPr>
        <w:t>Level</w:t>
      </w:r>
      <w:r w:rsidR="006E236D">
        <w:rPr>
          <w:u w:val="single"/>
        </w:rPr>
        <w:t>s</w:t>
      </w:r>
      <w:r>
        <w:rPr>
          <w:u w:val="single"/>
        </w:rPr>
        <w:t xml:space="preserve"> of evidence</w:t>
      </w:r>
    </w:p>
    <w:p w14:paraId="53051908" w14:textId="77777777" w:rsidR="00092179" w:rsidRPr="00062AD5" w:rsidRDefault="00092179" w:rsidP="00092179">
      <w:pPr>
        <w:spacing w:after="0"/>
      </w:pPr>
      <w:r w:rsidRPr="00062AD5">
        <w:t>- Valve dysfunction with signs/</w:t>
      </w:r>
      <w:proofErr w:type="spellStart"/>
      <w:r w:rsidRPr="00062AD5">
        <w:t>sx</w:t>
      </w:r>
      <w:proofErr w:type="spellEnd"/>
      <w:r w:rsidRPr="00062AD5">
        <w:t xml:space="preserve"> of heart failure (N</w:t>
      </w:r>
      <w:r w:rsidR="00062AD5" w:rsidRPr="00062AD5">
        <w:t xml:space="preserve">ative </w:t>
      </w:r>
      <w:r w:rsidRPr="00062AD5">
        <w:t>V</w:t>
      </w:r>
      <w:r w:rsidR="00062AD5" w:rsidRPr="00062AD5">
        <w:t xml:space="preserve">alve </w:t>
      </w:r>
      <w:r w:rsidRPr="00062AD5">
        <w:t>E</w:t>
      </w:r>
      <w:r w:rsidR="00062AD5" w:rsidRPr="00062AD5">
        <w:t>ndocarditis</w:t>
      </w:r>
      <w:r w:rsidRPr="00062AD5">
        <w:t>, P</w:t>
      </w:r>
      <w:r w:rsidR="00062AD5" w:rsidRPr="00062AD5">
        <w:t xml:space="preserve">rosthetic </w:t>
      </w:r>
      <w:r w:rsidRPr="00062AD5">
        <w:t>VE). Class I, Level B.</w:t>
      </w:r>
    </w:p>
    <w:p w14:paraId="381D6780" w14:textId="77777777" w:rsidR="00092179" w:rsidRPr="00062AD5" w:rsidRDefault="00092179" w:rsidP="00092179">
      <w:pPr>
        <w:spacing w:after="0"/>
      </w:pPr>
      <w:r w:rsidRPr="00062AD5">
        <w:t>- IE complicated by heart block, annular or aortic abscess, or destructive penetrating lesions (NVE, PVE). Class I, Level B.</w:t>
      </w:r>
    </w:p>
    <w:p w14:paraId="5482F2A7" w14:textId="58A5ECC8" w:rsidR="00092179" w:rsidRPr="00062AD5" w:rsidRDefault="00092179" w:rsidP="00092179">
      <w:pPr>
        <w:spacing w:after="0"/>
      </w:pPr>
      <w:r>
        <w:t>- Evidence of persistent bacteremia (or fever) lasting &gt; 5-7 days and other sources excluded (NVE, PVE). Class I, Level B.</w:t>
      </w:r>
      <w:r>
        <w:br/>
      </w:r>
    </w:p>
    <w:p w14:paraId="38240510" w14:textId="77777777" w:rsidR="00092179" w:rsidRPr="00062AD5" w:rsidRDefault="003F1FD2" w:rsidP="003F1FD2">
      <w:pPr>
        <w:spacing w:after="0"/>
      </w:pPr>
      <w:r w:rsidRPr="00062AD5">
        <w:t xml:space="preserve">- </w:t>
      </w:r>
      <w:r w:rsidR="00092179" w:rsidRPr="00062AD5">
        <w:t xml:space="preserve">Early surgery </w:t>
      </w:r>
      <w:r w:rsidR="00092179" w:rsidRPr="00062AD5">
        <w:rPr>
          <w:u w:val="single"/>
        </w:rPr>
        <w:t>considered</w:t>
      </w:r>
      <w:r w:rsidR="00092179" w:rsidRPr="00062AD5">
        <w:t xml:space="preserve"> when caused by fungi or resistant organism</w:t>
      </w:r>
      <w:r w:rsidRPr="00062AD5">
        <w:t>s (NVE, PVE). Class I, Level B.</w:t>
      </w:r>
    </w:p>
    <w:p w14:paraId="018ABAA1" w14:textId="77777777" w:rsidR="00092179" w:rsidRPr="00062AD5" w:rsidRDefault="003F1FD2" w:rsidP="00092179">
      <w:pPr>
        <w:spacing w:after="0"/>
        <w:rPr>
          <w:u w:val="single"/>
        </w:rPr>
      </w:pPr>
      <w:r w:rsidRPr="00062AD5">
        <w:t xml:space="preserve">- </w:t>
      </w:r>
      <w:r w:rsidR="00092179" w:rsidRPr="00062AD5">
        <w:t xml:space="preserve">Early surgery </w:t>
      </w:r>
      <w:r w:rsidR="00092179" w:rsidRPr="00062AD5">
        <w:rPr>
          <w:u w:val="single"/>
        </w:rPr>
        <w:t>reasonable</w:t>
      </w:r>
      <w:r w:rsidR="00092179" w:rsidRPr="00062AD5">
        <w:t xml:space="preserve"> for:</w:t>
      </w:r>
    </w:p>
    <w:p w14:paraId="0C9A46A1" w14:textId="77777777" w:rsidR="00092179" w:rsidRPr="00062AD5" w:rsidRDefault="00092179" w:rsidP="003F1FD2">
      <w:pPr>
        <w:spacing w:after="0"/>
        <w:ind w:firstLine="720"/>
      </w:pPr>
      <w:r w:rsidRPr="00062AD5">
        <w:t xml:space="preserve">- Recurrent emboli despite appropriate antibiotic therapy </w:t>
      </w:r>
      <w:r w:rsidR="00A93FE5">
        <w:t xml:space="preserve">&gt;7 days </w:t>
      </w:r>
      <w:r w:rsidRPr="00062AD5">
        <w:t xml:space="preserve">(NVE, PVE). Class </w:t>
      </w:r>
      <w:proofErr w:type="spellStart"/>
      <w:r w:rsidRPr="00062AD5">
        <w:t>IIa</w:t>
      </w:r>
      <w:proofErr w:type="spellEnd"/>
      <w:r w:rsidRPr="00062AD5">
        <w:t>, Level B.</w:t>
      </w:r>
    </w:p>
    <w:p w14:paraId="6CD2CD3F" w14:textId="77777777" w:rsidR="00092179" w:rsidRPr="00062AD5" w:rsidRDefault="00092179" w:rsidP="003F1FD2">
      <w:pPr>
        <w:spacing w:after="0"/>
        <w:ind w:firstLine="720"/>
      </w:pPr>
      <w:r w:rsidRPr="00062AD5">
        <w:t xml:space="preserve">- Mobile vegetation &gt; 10 mm and severe valve </w:t>
      </w:r>
      <w:proofErr w:type="spellStart"/>
      <w:r w:rsidRPr="00062AD5">
        <w:t>regurg</w:t>
      </w:r>
      <w:proofErr w:type="spellEnd"/>
      <w:r w:rsidRPr="00062AD5">
        <w:t xml:space="preserve"> (NVE). Class </w:t>
      </w:r>
      <w:proofErr w:type="spellStart"/>
      <w:r w:rsidRPr="00062AD5">
        <w:t>IIa</w:t>
      </w:r>
      <w:proofErr w:type="spellEnd"/>
      <w:r w:rsidRPr="00062AD5">
        <w:t>, Level B.</w:t>
      </w:r>
    </w:p>
    <w:p w14:paraId="5107F53F" w14:textId="2301CDB9" w:rsidR="50A7D305" w:rsidRDefault="00D02FE2" w:rsidP="006E236D">
      <w:pPr>
        <w:spacing w:after="0"/>
      </w:pPr>
      <w:r w:rsidRPr="00062AD5">
        <w:t xml:space="preserve">- Early surgery </w:t>
      </w:r>
      <w:r w:rsidRPr="00062AD5">
        <w:rPr>
          <w:u w:val="single"/>
        </w:rPr>
        <w:t>may be considered</w:t>
      </w:r>
      <w:r w:rsidRPr="00062AD5">
        <w:t xml:space="preserve"> if mobile vegetation &gt; 10 mm (PVE). Class IIb, Level C.</w:t>
      </w:r>
    </w:p>
    <w:p w14:paraId="60514339" w14:textId="0BB3F1AD" w:rsidR="57FA4B68" w:rsidRDefault="57FA4B68" w:rsidP="57FA4B68">
      <w:pPr>
        <w:spacing w:after="0"/>
      </w:pPr>
    </w:p>
    <w:p w14:paraId="299D044E" w14:textId="4A32F5F8" w:rsidR="006F61A8" w:rsidRPr="00062AD5" w:rsidRDefault="006F61A8" w:rsidP="007C7FBF">
      <w:pPr>
        <w:spacing w:after="0"/>
      </w:pPr>
      <w:r w:rsidRPr="07C25BCD">
        <w:rPr>
          <w:b/>
          <w:bCs/>
          <w:u w:val="single"/>
        </w:rPr>
        <w:t>Point:</w:t>
      </w:r>
      <w:r>
        <w:t xml:space="preserve"> There are some clear indications for surgery but often the decision is a balance of multiple factors and should be a multi-disciplinary decision.</w:t>
      </w:r>
      <w:r w:rsidR="00045E94">
        <w:t xml:space="preserve">  In all cases of left-sided, prosthetic valve or complicated endocarditis, consult to cardiac surgeon should be done.</w:t>
      </w:r>
    </w:p>
    <w:p w14:paraId="19219836" w14:textId="77777777" w:rsidR="006F61A8" w:rsidRPr="00062AD5" w:rsidRDefault="006F61A8" w:rsidP="007C7FBF">
      <w:pPr>
        <w:spacing w:after="0"/>
      </w:pPr>
    </w:p>
    <w:p w14:paraId="3C071E90" w14:textId="77777777" w:rsidR="006F61A8" w:rsidRPr="00062AD5" w:rsidRDefault="006F61A8" w:rsidP="007C7FBF">
      <w:pPr>
        <w:spacing w:after="0"/>
      </w:pPr>
      <w:r w:rsidRPr="00062AD5">
        <w:t xml:space="preserve">Note: Early surgery is generally considered </w:t>
      </w:r>
      <w:r w:rsidR="00DD2042" w:rsidRPr="00062AD5">
        <w:t xml:space="preserve">surgery done </w:t>
      </w:r>
      <w:r w:rsidRPr="00062AD5">
        <w:t xml:space="preserve">during initial hospitalization and before completion of a full course of antibiotics.  </w:t>
      </w:r>
    </w:p>
    <w:p w14:paraId="296FEF7D" w14:textId="77777777" w:rsidR="006F61A8" w:rsidRPr="00062AD5" w:rsidRDefault="006F61A8" w:rsidP="007C7FBF">
      <w:pPr>
        <w:spacing w:after="0"/>
      </w:pPr>
    </w:p>
    <w:p w14:paraId="5FA10682" w14:textId="77777777" w:rsidR="00DD2042" w:rsidRPr="00062AD5" w:rsidRDefault="00DD2042" w:rsidP="007C7FBF">
      <w:pPr>
        <w:spacing w:after="0"/>
        <w:rPr>
          <w:b/>
        </w:rPr>
      </w:pPr>
      <w:r w:rsidRPr="00062AD5">
        <w:rPr>
          <w:b/>
        </w:rPr>
        <w:t>10. What if instead the patient had right-sided endocarditis with septic pulmonary emboli?  Is surgery indicated</w:t>
      </w:r>
      <w:r w:rsidR="003A54F3" w:rsidRPr="00062AD5">
        <w:rPr>
          <w:b/>
        </w:rPr>
        <w:t>, why or why not?</w:t>
      </w:r>
    </w:p>
    <w:p w14:paraId="6007EF69" w14:textId="77777777" w:rsidR="00747B02" w:rsidRPr="00062AD5" w:rsidRDefault="00DD2042" w:rsidP="007C7FBF">
      <w:pPr>
        <w:spacing w:after="0"/>
        <w:rPr>
          <w:b/>
        </w:rPr>
      </w:pPr>
      <w:r w:rsidRPr="00062AD5">
        <w:t xml:space="preserve">No, generally you would </w:t>
      </w:r>
      <w:r w:rsidR="00747B02" w:rsidRPr="00062AD5">
        <w:t>treat medically</w:t>
      </w:r>
      <w:r w:rsidRPr="00062AD5">
        <w:t xml:space="preserve"> and not pursue surgery</w:t>
      </w:r>
      <w:r w:rsidR="00747B02" w:rsidRPr="00062AD5">
        <w:t>.</w:t>
      </w:r>
      <w:r w:rsidR="00597EDA" w:rsidRPr="00062AD5">
        <w:t xml:space="preserve">  </w:t>
      </w:r>
    </w:p>
    <w:p w14:paraId="22EC3EC1" w14:textId="77777777" w:rsidR="00747B02" w:rsidRPr="00062AD5" w:rsidRDefault="00DD2042" w:rsidP="00DD2042">
      <w:pPr>
        <w:spacing w:after="0"/>
      </w:pPr>
      <w:r w:rsidRPr="00062AD5">
        <w:t xml:space="preserve">- </w:t>
      </w:r>
      <w:r w:rsidR="003A54F3" w:rsidRPr="00062AD5">
        <w:t xml:space="preserve">Why not? </w:t>
      </w:r>
      <w:r w:rsidR="00747B02" w:rsidRPr="00062AD5">
        <w:t>Outcomes are bette</w:t>
      </w:r>
      <w:r w:rsidR="00092179" w:rsidRPr="00062AD5">
        <w:t>r with right-sided endocarditis.</w:t>
      </w:r>
      <w:r w:rsidR="007A0D3E" w:rsidRPr="00062AD5">
        <w:t xml:space="preserve">  Also, concern for reinfection of prosthetic valve.</w:t>
      </w:r>
    </w:p>
    <w:p w14:paraId="7194DBDC" w14:textId="77777777" w:rsidR="000400D5" w:rsidRPr="00062AD5" w:rsidRDefault="000400D5" w:rsidP="00DD2042">
      <w:pPr>
        <w:spacing w:after="0"/>
      </w:pPr>
    </w:p>
    <w:p w14:paraId="7273A9FC" w14:textId="77777777" w:rsidR="000400D5" w:rsidRPr="00062AD5" w:rsidRDefault="000400D5" w:rsidP="000400D5">
      <w:pPr>
        <w:spacing w:after="0"/>
        <w:ind w:firstLine="720"/>
      </w:pPr>
      <w:r w:rsidRPr="00062AD5">
        <w:rPr>
          <w:u w:val="single"/>
        </w:rPr>
        <w:t>Follow-up question</w:t>
      </w:r>
      <w:r w:rsidRPr="00062AD5">
        <w:t>: Do the emboli matter</w:t>
      </w:r>
      <w:r w:rsidR="003A54F3" w:rsidRPr="00062AD5">
        <w:t xml:space="preserve">?  </w:t>
      </w:r>
    </w:p>
    <w:p w14:paraId="769D0D3C" w14:textId="4204FE2B" w:rsidR="00747B02" w:rsidRPr="00062AD5" w:rsidRDefault="000400D5" w:rsidP="006E236D">
      <w:pPr>
        <w:spacing w:after="0"/>
        <w:ind w:left="1440"/>
      </w:pPr>
      <w:r w:rsidRPr="00062AD5">
        <w:t xml:space="preserve">Answer: </w:t>
      </w:r>
      <w:r w:rsidR="00DD2042" w:rsidRPr="00062AD5">
        <w:t xml:space="preserve">Emboli get tricky with left-sided or right-sided IE.  Generally, do not pursue surgery for presence of emboli alone.  However, </w:t>
      </w:r>
      <w:r w:rsidR="00DD2042" w:rsidRPr="00062AD5">
        <w:rPr>
          <w:u w:val="single"/>
        </w:rPr>
        <w:t>recurrent</w:t>
      </w:r>
      <w:r w:rsidR="00DD2042" w:rsidRPr="00062AD5">
        <w:t xml:space="preserve"> emboli despite appropriate antibiotic therapy </w:t>
      </w:r>
      <w:r w:rsidR="003A54F3" w:rsidRPr="00062AD5">
        <w:t>would be a reason to consider</w:t>
      </w:r>
      <w:r w:rsidR="00DD2042" w:rsidRPr="00062AD5">
        <w:t xml:space="preserve"> surgical intervention.</w:t>
      </w:r>
    </w:p>
    <w:p w14:paraId="011A900F" w14:textId="1F718AB5" w:rsidR="57FA4B68" w:rsidRDefault="57FA4B68" w:rsidP="57FA4B68">
      <w:pPr>
        <w:spacing w:after="0"/>
      </w:pPr>
    </w:p>
    <w:p w14:paraId="34059618" w14:textId="77777777" w:rsidR="00747B02" w:rsidRPr="00062AD5" w:rsidRDefault="00747B02" w:rsidP="00747B02">
      <w:pPr>
        <w:spacing w:after="0"/>
      </w:pPr>
      <w:r w:rsidRPr="00062AD5">
        <w:lastRenderedPageBreak/>
        <w:t xml:space="preserve">- If do intervene surgically, then </w:t>
      </w:r>
      <w:r w:rsidRPr="007777B5">
        <w:rPr>
          <w:i/>
        </w:rPr>
        <w:t>valve repair</w:t>
      </w:r>
      <w:r w:rsidRPr="007777B5">
        <w:t xml:space="preserve"> rather than replacement</w:t>
      </w:r>
      <w:r w:rsidRPr="00062AD5">
        <w:t xml:space="preserve"> should be performed when feasible. Class I, Level C.</w:t>
      </w:r>
    </w:p>
    <w:p w14:paraId="54CD245A" w14:textId="77777777" w:rsidR="00747B02" w:rsidRPr="00062AD5" w:rsidRDefault="00747B02" w:rsidP="007C7FBF">
      <w:pPr>
        <w:spacing w:after="0"/>
      </w:pPr>
    </w:p>
    <w:p w14:paraId="6AA78C6F" w14:textId="103A34D3" w:rsidR="00747B02" w:rsidRPr="00062AD5" w:rsidRDefault="00747B02" w:rsidP="007C7FBF">
      <w:pPr>
        <w:spacing w:after="0"/>
      </w:pPr>
      <w:r w:rsidRPr="00062AD5">
        <w:tab/>
      </w:r>
      <w:r w:rsidR="007777B5">
        <w:rPr>
          <w:u w:val="single"/>
        </w:rPr>
        <w:t>Follow</w:t>
      </w:r>
      <w:r w:rsidRPr="00062AD5">
        <w:rPr>
          <w:u w:val="single"/>
        </w:rPr>
        <w:t>-up question</w:t>
      </w:r>
      <w:r w:rsidRPr="00062AD5">
        <w:t xml:space="preserve">: When </w:t>
      </w:r>
      <w:r w:rsidR="000400D5" w:rsidRPr="00062AD5">
        <w:t xml:space="preserve">else would you </w:t>
      </w:r>
      <w:r w:rsidRPr="00062AD5">
        <w:t>consider surgical intervention?</w:t>
      </w:r>
    </w:p>
    <w:p w14:paraId="084B942B" w14:textId="500B408B" w:rsidR="00747B02" w:rsidRPr="00062AD5" w:rsidRDefault="00747B02" w:rsidP="00F13BD3">
      <w:pPr>
        <w:spacing w:after="0"/>
        <w:ind w:left="1440"/>
      </w:pPr>
      <w:r w:rsidRPr="00062AD5">
        <w:t>Answer: right heart failure 2/2 severe tricuspid regurgitation with poor response to medical therapy, sustained infection caused by difficult-to-treat organisms (</w:t>
      </w:r>
      <w:proofErr w:type="gramStart"/>
      <w:r w:rsidRPr="00062AD5">
        <w:t>i.e.</w:t>
      </w:r>
      <w:proofErr w:type="gramEnd"/>
      <w:r w:rsidRPr="00062AD5">
        <w:t xml:space="preserve"> fungi, MDRO) or lack of response to appropriate antimicrobial therapy, and tricuspid valve vegetations that are ≥20 mm in diameter and recurrent pulmonary emboli despite antimicrobial therapy.</w:t>
      </w:r>
    </w:p>
    <w:p w14:paraId="1231BE67" w14:textId="77777777" w:rsidR="00D02FE2" w:rsidRPr="00062AD5" w:rsidRDefault="00D02FE2" w:rsidP="00D02FE2">
      <w:pPr>
        <w:spacing w:after="0"/>
      </w:pPr>
    </w:p>
    <w:p w14:paraId="54E0E8BB" w14:textId="56179966" w:rsidR="00824CA8" w:rsidRPr="00062AD5" w:rsidRDefault="00824CA8" w:rsidP="07C25BCD">
      <w:pPr>
        <w:pStyle w:val="Body"/>
        <w:spacing w:after="0"/>
        <w:rPr>
          <w:b/>
          <w:bCs/>
        </w:rPr>
      </w:pPr>
      <w:r w:rsidRPr="07C25BCD">
        <w:rPr>
          <w:b/>
          <w:bCs/>
        </w:rPr>
        <w:t xml:space="preserve">11.  What if instead the patient already had a prior history of endocarditis with a mechanical AVR on </w:t>
      </w:r>
      <w:r w:rsidR="6EA03AF5" w:rsidRPr="07C25BCD">
        <w:rPr>
          <w:b/>
          <w:bCs/>
        </w:rPr>
        <w:t>warfarin</w:t>
      </w:r>
      <w:r w:rsidRPr="07C25BCD">
        <w:rPr>
          <w:b/>
          <w:bCs/>
        </w:rPr>
        <w:t xml:space="preserve"> and he presented with recurrent endocarditis with the emboli to brain as above?  What would you do with his anticoagulation?</w:t>
      </w:r>
    </w:p>
    <w:p w14:paraId="7DE41212" w14:textId="77777777" w:rsidR="00824CA8" w:rsidRPr="00062AD5" w:rsidRDefault="00824CA8" w:rsidP="00D02FE2">
      <w:pPr>
        <w:spacing w:after="0"/>
        <w:rPr>
          <w:i/>
        </w:rPr>
      </w:pPr>
      <w:r w:rsidRPr="00062AD5">
        <w:rPr>
          <w:i/>
        </w:rPr>
        <w:t xml:space="preserve">Discuss risk vs benefit of clotting valve vs bleeding around brain </w:t>
      </w:r>
      <w:proofErr w:type="gramStart"/>
      <w:r w:rsidRPr="00062AD5">
        <w:rPr>
          <w:i/>
        </w:rPr>
        <w:t>emboli</w:t>
      </w:r>
      <w:proofErr w:type="gramEnd"/>
    </w:p>
    <w:p w14:paraId="68842A8A" w14:textId="77777777" w:rsidR="007777B5" w:rsidRDefault="007777B5" w:rsidP="00D02FE2">
      <w:pPr>
        <w:spacing w:after="0"/>
      </w:pPr>
    </w:p>
    <w:p w14:paraId="00EA1176" w14:textId="1731B1F1" w:rsidR="00824CA8" w:rsidRPr="00062AD5" w:rsidRDefault="00824CA8" w:rsidP="00D02FE2">
      <w:pPr>
        <w:spacing w:after="0"/>
      </w:pPr>
      <w:r w:rsidRPr="00062AD5">
        <w:t xml:space="preserve">Guideline: Discontinuation </w:t>
      </w:r>
      <w:r w:rsidR="00F13BD3" w:rsidRPr="00062AD5">
        <w:t xml:space="preserve">of </w:t>
      </w:r>
      <w:r w:rsidRPr="00062AD5">
        <w:t xml:space="preserve">all forms of anticoagulation in patients with mechanical valve IE who have experienced a CNS embolic event for at least 2 weeks is reasonable.  Class </w:t>
      </w:r>
      <w:proofErr w:type="spellStart"/>
      <w:r w:rsidRPr="00062AD5">
        <w:t>IIa</w:t>
      </w:r>
      <w:proofErr w:type="spellEnd"/>
      <w:r w:rsidRPr="00062AD5">
        <w:t>, Level C (</w:t>
      </w:r>
      <w:r w:rsidR="00E941A7" w:rsidRPr="00062AD5">
        <w:t xml:space="preserve">only </w:t>
      </w:r>
      <w:r w:rsidRPr="00062AD5">
        <w:t>expert opinion).</w:t>
      </w:r>
    </w:p>
    <w:p w14:paraId="30D7AA69" w14:textId="77777777" w:rsidR="00824CA8" w:rsidRPr="00062AD5" w:rsidRDefault="00824CA8" w:rsidP="00D02FE2">
      <w:pPr>
        <w:spacing w:after="0"/>
      </w:pPr>
    </w:p>
    <w:p w14:paraId="5826D158" w14:textId="77777777" w:rsidR="006E236D" w:rsidRDefault="006E236D" w:rsidP="57FA4B68">
      <w:pPr>
        <w:spacing w:after="0"/>
        <w:rPr>
          <w:b/>
          <w:bCs/>
        </w:rPr>
      </w:pPr>
    </w:p>
    <w:p w14:paraId="5894DF49" w14:textId="77777777" w:rsidR="00D02FE2" w:rsidRPr="00062AD5" w:rsidRDefault="00D02FE2" w:rsidP="00D02FE2">
      <w:pPr>
        <w:spacing w:after="0"/>
        <w:rPr>
          <w:b/>
        </w:rPr>
      </w:pPr>
      <w:r w:rsidRPr="00062AD5">
        <w:rPr>
          <w:b/>
        </w:rPr>
        <w:t>Case Continued:</w:t>
      </w:r>
    </w:p>
    <w:p w14:paraId="1945A5DC" w14:textId="77777777" w:rsidR="00236DDA" w:rsidRDefault="00D02FE2" w:rsidP="00D02FE2">
      <w:pPr>
        <w:spacing w:after="0"/>
      </w:pPr>
      <w:r w:rsidRPr="00062AD5">
        <w:t>Patient undergoes AVR</w:t>
      </w:r>
      <w:r w:rsidR="00DF39AD" w:rsidRPr="00062AD5">
        <w:t xml:space="preserve"> and does well post-operatively.  </w:t>
      </w:r>
      <w:r w:rsidR="006667FF" w:rsidRPr="00062AD5">
        <w:t>His cultures grew MS</w:t>
      </w:r>
      <w:r w:rsidR="00932AAD" w:rsidRPr="00062AD5">
        <w:t xml:space="preserve">SA.  </w:t>
      </w:r>
    </w:p>
    <w:p w14:paraId="6BD18F9B" w14:textId="77777777" w:rsidR="00914B48" w:rsidRDefault="00914B48" w:rsidP="00236DDA">
      <w:pPr>
        <w:pStyle w:val="Body"/>
        <w:spacing w:after="0"/>
        <w:rPr>
          <w:b/>
        </w:rPr>
      </w:pPr>
    </w:p>
    <w:p w14:paraId="6F48DA1B" w14:textId="77777777" w:rsidR="00236DDA" w:rsidRPr="00D13EBB" w:rsidRDefault="00236DDA" w:rsidP="00236DDA">
      <w:pPr>
        <w:pStyle w:val="Body"/>
        <w:spacing w:after="0"/>
        <w:rPr>
          <w:b/>
          <w:bCs/>
          <w:iCs/>
        </w:rPr>
      </w:pPr>
      <w:r w:rsidRPr="00236DDA">
        <w:rPr>
          <w:b/>
        </w:rPr>
        <w:t>12.</w:t>
      </w:r>
      <w:r w:rsidRPr="00236DDA">
        <w:rPr>
          <w:b/>
          <w:bCs/>
          <w:iCs/>
        </w:rPr>
        <w:t xml:space="preserve"> If</w:t>
      </w:r>
      <w:r>
        <w:rPr>
          <w:b/>
          <w:bCs/>
          <w:iCs/>
        </w:rPr>
        <w:t xml:space="preserve"> the patient had prosthetic valve would this change your antibiotics?</w:t>
      </w:r>
    </w:p>
    <w:p w14:paraId="38964F3E" w14:textId="77777777" w:rsidR="00A93FE5" w:rsidRDefault="00236DDA" w:rsidP="00236DDA">
      <w:pPr>
        <w:pStyle w:val="Body"/>
        <w:spacing w:after="0"/>
        <w:rPr>
          <w:bCs/>
          <w:iCs/>
        </w:rPr>
      </w:pPr>
      <w:r>
        <w:rPr>
          <w:bCs/>
          <w:iCs/>
          <w:u w:val="single"/>
        </w:rPr>
        <w:t xml:space="preserve">Point: </w:t>
      </w:r>
      <w:r>
        <w:rPr>
          <w:bCs/>
          <w:iCs/>
        </w:rPr>
        <w:t>Staph aureus- infected prosthetic valves need combination therapy</w:t>
      </w:r>
      <w:r w:rsidR="00A93FE5">
        <w:rPr>
          <w:bCs/>
          <w:iCs/>
        </w:rPr>
        <w:t xml:space="preserve">: </w:t>
      </w:r>
    </w:p>
    <w:p w14:paraId="2B1F701A" w14:textId="08DE6E66" w:rsidR="00236DDA" w:rsidRDefault="00236DDA" w:rsidP="07C25BCD">
      <w:pPr>
        <w:pStyle w:val="Body"/>
        <w:spacing w:after="0"/>
        <w:ind w:firstLine="720"/>
      </w:pPr>
      <w:proofErr w:type="spellStart"/>
      <w:r>
        <w:t>antistap</w:t>
      </w:r>
      <w:r w:rsidR="00A93FE5">
        <w:t>hylococcal</w:t>
      </w:r>
      <w:proofErr w:type="spellEnd"/>
      <w:r w:rsidR="00A93FE5">
        <w:t xml:space="preserve"> beta-lactam OR vancomycin</w:t>
      </w:r>
      <w:r w:rsidR="7B412F49">
        <w:t xml:space="preserve"> for 6 </w:t>
      </w:r>
      <w:proofErr w:type="gramStart"/>
      <w:r w:rsidR="7B412F49">
        <w:t xml:space="preserve">weeks </w:t>
      </w:r>
      <w:r>
        <w:t xml:space="preserve"> </w:t>
      </w:r>
      <w:r w:rsidR="00A93FE5">
        <w:t>PLUS</w:t>
      </w:r>
      <w:proofErr w:type="gramEnd"/>
      <w:r w:rsidR="00A93FE5">
        <w:t xml:space="preserve"> rifampin</w:t>
      </w:r>
      <w:r w:rsidR="16911378">
        <w:t xml:space="preserve"> for 6 weeks</w:t>
      </w:r>
      <w:r w:rsidR="5DCE09A1">
        <w:t xml:space="preserve"> PLUS an aminoglycoside </w:t>
      </w:r>
      <w:r w:rsidR="622E321E">
        <w:t>for 2 weeks</w:t>
      </w:r>
    </w:p>
    <w:p w14:paraId="238601FE" w14:textId="77777777" w:rsidR="00A93FE5" w:rsidRDefault="00A93FE5" w:rsidP="00236DDA">
      <w:pPr>
        <w:pStyle w:val="Body"/>
        <w:spacing w:after="0"/>
        <w:rPr>
          <w:bCs/>
          <w:iCs/>
        </w:rPr>
      </w:pPr>
    </w:p>
    <w:p w14:paraId="6929F287" w14:textId="77777777" w:rsidR="00236DDA" w:rsidRPr="00062AD5" w:rsidRDefault="00236DDA" w:rsidP="07C25BCD">
      <w:pPr>
        <w:pStyle w:val="Body"/>
        <w:spacing w:after="0"/>
        <w:rPr>
          <w:b/>
          <w:bCs/>
        </w:rPr>
      </w:pPr>
      <w:r w:rsidRPr="07C25BCD">
        <w:rPr>
          <w:b/>
          <w:bCs/>
        </w:rPr>
        <w:t xml:space="preserve">He completes a </w:t>
      </w:r>
      <w:proofErr w:type="gramStart"/>
      <w:r w:rsidRPr="07C25BCD">
        <w:rPr>
          <w:b/>
          <w:bCs/>
        </w:rPr>
        <w:t>6 week</w:t>
      </w:r>
      <w:proofErr w:type="gramEnd"/>
      <w:r w:rsidRPr="07C25BCD">
        <w:rPr>
          <w:b/>
          <w:bCs/>
        </w:rPr>
        <w:t xml:space="preserve"> course of nafcillin.  He is then seen in the </w:t>
      </w:r>
      <w:r w:rsidR="00A93FE5" w:rsidRPr="07C25BCD">
        <w:rPr>
          <w:b/>
          <w:bCs/>
        </w:rPr>
        <w:t xml:space="preserve">IM </w:t>
      </w:r>
      <w:proofErr w:type="spellStart"/>
      <w:r w:rsidRPr="07C25BCD">
        <w:rPr>
          <w:b/>
          <w:bCs/>
        </w:rPr>
        <w:t>Hoxworth</w:t>
      </w:r>
      <w:proofErr w:type="spellEnd"/>
      <w:r w:rsidRPr="07C25BCD">
        <w:rPr>
          <w:b/>
          <w:bCs/>
        </w:rPr>
        <w:t xml:space="preserve"> clinic to establish care with a new PCP.  He hasn’t seen a dentist in </w:t>
      </w:r>
      <w:proofErr w:type="gramStart"/>
      <w:r w:rsidRPr="07C25BCD">
        <w:rPr>
          <w:b/>
          <w:bCs/>
        </w:rPr>
        <w:t>years</w:t>
      </w:r>
      <w:proofErr w:type="gramEnd"/>
      <w:r w:rsidRPr="07C25BCD">
        <w:rPr>
          <w:b/>
          <w:bCs/>
        </w:rPr>
        <w:t xml:space="preserve"> so you refer him to a dentist who recommends deep cleaning and tooth extraction.</w:t>
      </w:r>
    </w:p>
    <w:p w14:paraId="0F3CABC7" w14:textId="77777777" w:rsidR="00932AAD" w:rsidRPr="00062AD5" w:rsidRDefault="00932AAD" w:rsidP="00D02FE2">
      <w:pPr>
        <w:spacing w:after="0"/>
      </w:pPr>
    </w:p>
    <w:p w14:paraId="28DD10DC" w14:textId="77777777" w:rsidR="00932AAD" w:rsidRPr="00062AD5" w:rsidRDefault="00236DDA" w:rsidP="00D02FE2">
      <w:pPr>
        <w:spacing w:after="0"/>
        <w:rPr>
          <w:b/>
        </w:rPr>
      </w:pPr>
      <w:r>
        <w:rPr>
          <w:b/>
        </w:rPr>
        <w:t>13.</w:t>
      </w:r>
      <w:r w:rsidR="00932AAD" w:rsidRPr="00062AD5">
        <w:rPr>
          <w:b/>
        </w:rPr>
        <w:t xml:space="preserve"> Does the patient need antibiotic prophylaxis?  If so, why and with what antibiotic?  What are the indications for antibiotic prophylaxis prior to dental procedures?</w:t>
      </w:r>
    </w:p>
    <w:p w14:paraId="5B1A8C91" w14:textId="77777777" w:rsidR="00932AAD" w:rsidRPr="00062AD5" w:rsidRDefault="00932AAD" w:rsidP="00D02FE2">
      <w:pPr>
        <w:spacing w:after="0"/>
      </w:pPr>
      <w:r w:rsidRPr="00062AD5">
        <w:t xml:space="preserve">Yes, due to prior history of endocarditis.  </w:t>
      </w:r>
    </w:p>
    <w:p w14:paraId="5B08B5D1" w14:textId="77777777" w:rsidR="006667FF" w:rsidRPr="00062AD5" w:rsidRDefault="006667FF" w:rsidP="00D02FE2">
      <w:pPr>
        <w:spacing w:after="0"/>
      </w:pPr>
    </w:p>
    <w:p w14:paraId="6E937DA4" w14:textId="77777777" w:rsidR="00E941A7" w:rsidRPr="00062AD5" w:rsidRDefault="00932AAD" w:rsidP="00D02FE2">
      <w:pPr>
        <w:spacing w:after="0"/>
      </w:pPr>
      <w:r w:rsidRPr="00062AD5">
        <w:t xml:space="preserve">Prophylaxis with amoxicillin 2 gm 30-60 min prior to procedure </w:t>
      </w:r>
    </w:p>
    <w:p w14:paraId="0E8A6610" w14:textId="77777777" w:rsidR="00932AAD" w:rsidRPr="00062AD5" w:rsidRDefault="00932AAD" w:rsidP="00D02FE2">
      <w:pPr>
        <w:spacing w:after="0"/>
      </w:pPr>
      <w:r w:rsidRPr="00062AD5">
        <w:t>(</w:t>
      </w:r>
      <w:proofErr w:type="gramStart"/>
      <w:r w:rsidRPr="00062AD5">
        <w:t>alternative</w:t>
      </w:r>
      <w:proofErr w:type="gramEnd"/>
      <w:r w:rsidRPr="00062AD5">
        <w:t xml:space="preserve"> if allergic: clindamycin, erythromycin, or clarithromycin; cephalexin if rash only)</w:t>
      </w:r>
    </w:p>
    <w:p w14:paraId="16DEB4AB" w14:textId="77777777" w:rsidR="00932AAD" w:rsidRPr="00062AD5" w:rsidRDefault="00932AAD" w:rsidP="00D02FE2">
      <w:pPr>
        <w:spacing w:after="0"/>
      </w:pPr>
    </w:p>
    <w:p w14:paraId="2CCD9D09" w14:textId="77777777" w:rsidR="00932AAD" w:rsidRPr="00062AD5" w:rsidRDefault="00932AAD" w:rsidP="00D02FE2">
      <w:pPr>
        <w:spacing w:after="0"/>
      </w:pPr>
      <w:r w:rsidRPr="00062AD5">
        <w:t>Indications for antibiotic prophylaxis:</w:t>
      </w:r>
    </w:p>
    <w:p w14:paraId="6CFD8CB5" w14:textId="77777777" w:rsidR="00932AAD" w:rsidRPr="00062AD5" w:rsidRDefault="00932AAD" w:rsidP="00932AAD">
      <w:pPr>
        <w:numPr>
          <w:ilvl w:val="0"/>
          <w:numId w:val="30"/>
        </w:numPr>
        <w:spacing w:after="0"/>
      </w:pPr>
      <w:r w:rsidRPr="00062AD5">
        <w:t xml:space="preserve">Prosthetic cardiac valve or prosthetic material used for valve </w:t>
      </w:r>
      <w:proofErr w:type="gramStart"/>
      <w:r w:rsidRPr="00062AD5">
        <w:t>repair</w:t>
      </w:r>
      <w:proofErr w:type="gramEnd"/>
    </w:p>
    <w:p w14:paraId="0B7C9C3B" w14:textId="3C7F0E88" w:rsidR="00932AAD" w:rsidRDefault="00932AAD" w:rsidP="07C25BCD">
      <w:pPr>
        <w:numPr>
          <w:ilvl w:val="0"/>
          <w:numId w:val="30"/>
        </w:numPr>
        <w:spacing w:after="0"/>
      </w:pPr>
      <w:r>
        <w:t>Previous infective endocarditis</w:t>
      </w:r>
    </w:p>
    <w:p w14:paraId="629B9BC0" w14:textId="65454548" w:rsidR="5532417B" w:rsidRDefault="5532417B" w:rsidP="07C25BCD">
      <w:pPr>
        <w:numPr>
          <w:ilvl w:val="0"/>
          <w:numId w:val="30"/>
        </w:numPr>
        <w:spacing w:after="0"/>
      </w:pPr>
      <w:r>
        <w:t xml:space="preserve">Cardiac transplantation recipients who develop cardiac </w:t>
      </w:r>
      <w:proofErr w:type="spellStart"/>
      <w:r>
        <w:t>valvulopathy</w:t>
      </w:r>
      <w:proofErr w:type="spellEnd"/>
    </w:p>
    <w:p w14:paraId="615CB1C5" w14:textId="77777777" w:rsidR="00932AAD" w:rsidRPr="00062AD5" w:rsidRDefault="00932AAD" w:rsidP="00932AAD">
      <w:pPr>
        <w:numPr>
          <w:ilvl w:val="0"/>
          <w:numId w:val="30"/>
        </w:numPr>
        <w:spacing w:after="0"/>
      </w:pPr>
      <w:r>
        <w:t>Some congenital heart disease</w:t>
      </w:r>
    </w:p>
    <w:p w14:paraId="5D16F3D7" w14:textId="77777777" w:rsidR="00932AAD" w:rsidRPr="00062AD5" w:rsidRDefault="00932AAD" w:rsidP="00932AAD">
      <w:pPr>
        <w:numPr>
          <w:ilvl w:val="1"/>
          <w:numId w:val="30"/>
        </w:numPr>
        <w:spacing w:after="0"/>
      </w:pPr>
      <w:r w:rsidRPr="00062AD5">
        <w:t>Unrepaired cyanotic CHD</w:t>
      </w:r>
    </w:p>
    <w:p w14:paraId="002358AF" w14:textId="566C6A56" w:rsidR="007777B5" w:rsidRDefault="00932AAD" w:rsidP="07C25BCD">
      <w:pPr>
        <w:numPr>
          <w:ilvl w:val="1"/>
          <w:numId w:val="30"/>
        </w:numPr>
        <w:spacing w:after="0"/>
      </w:pPr>
      <w:r>
        <w:lastRenderedPageBreak/>
        <w:t>Completely repaired CHD with prosthetic material/device during first 6 months after procedure</w:t>
      </w:r>
      <w:r w:rsidR="38EB6C9B">
        <w:t xml:space="preserve"> or lifelong if there is residual shunt or valvular </w:t>
      </w:r>
      <w:proofErr w:type="gramStart"/>
      <w:r w:rsidR="38EB6C9B">
        <w:t>regurgitation</w:t>
      </w:r>
      <w:proofErr w:type="gramEnd"/>
    </w:p>
    <w:p w14:paraId="1C7D655D" w14:textId="77777777" w:rsidR="007777B5" w:rsidRDefault="007777B5" w:rsidP="007777B5">
      <w:pPr>
        <w:pStyle w:val="Body"/>
        <w:spacing w:after="0"/>
      </w:pPr>
    </w:p>
    <w:p w14:paraId="570DE516" w14:textId="43E26C83" w:rsidR="007777B5" w:rsidRDefault="007777B5" w:rsidP="007777B5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Quick Cases: </w:t>
      </w:r>
      <w:r w:rsidRPr="00D24C00">
        <w:rPr>
          <w:b/>
          <w:bCs/>
        </w:rPr>
        <w:t>Which antibiotic would you choose in the following cases?</w:t>
      </w:r>
    </w:p>
    <w:tbl>
      <w:tblPr>
        <w:tblpPr w:leftFromText="180" w:rightFromText="180" w:vertAnchor="page" w:horzAnchor="margin" w:tblpY="2957"/>
        <w:tblOverlap w:val="never"/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415"/>
        <w:gridCol w:w="4785"/>
      </w:tblGrid>
      <w:tr w:rsidR="00D14F2F" w:rsidRPr="007D4B5B" w14:paraId="1F771067" w14:textId="77777777" w:rsidTr="07C25BCD">
        <w:trPr>
          <w:trHeight w:val="650"/>
        </w:trPr>
        <w:tc>
          <w:tcPr>
            <w:tcW w:w="4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D2B14F0" w14:textId="0D16D619" w:rsidR="00D14F2F" w:rsidRPr="007D4B5B" w:rsidRDefault="40CDAEBA" w:rsidP="00D14F2F">
            <w:r>
              <w:t xml:space="preserve">25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r w:rsidR="5103E549">
              <w:t>with history of IVDU</w:t>
            </w:r>
            <w:r>
              <w:t xml:space="preserve"> with tricuspid valve endocarditis and right leg weakness. MRI shows small abscess. Blood culture with MSSA. </w:t>
            </w:r>
          </w:p>
        </w:tc>
        <w:tc>
          <w:tcPr>
            <w:tcW w:w="4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8CF3026" w14:textId="21D826F2" w:rsidR="00D14F2F" w:rsidRPr="007D4B5B" w:rsidRDefault="00D14F2F" w:rsidP="00D14F2F">
            <w:r w:rsidRPr="007D4B5B">
              <w:rPr>
                <w:bCs/>
              </w:rPr>
              <w:t>Nafcillin</w:t>
            </w:r>
            <w:r w:rsidR="00FA18BA">
              <w:rPr>
                <w:bCs/>
              </w:rPr>
              <w:t xml:space="preserve"> or Cefazolin</w:t>
            </w:r>
            <w:r w:rsidRPr="007D4B5B">
              <w:rPr>
                <w:bCs/>
              </w:rPr>
              <w:t xml:space="preserve"> x 6 weeks</w:t>
            </w:r>
          </w:p>
        </w:tc>
      </w:tr>
      <w:tr w:rsidR="00D14F2F" w:rsidRPr="007D4B5B" w14:paraId="251C7DD8" w14:textId="77777777" w:rsidTr="07C25BCD">
        <w:tblPrEx>
          <w:tblBorders>
            <w:top w:val="none" w:sz="0" w:space="0" w:color="auto"/>
          </w:tblBorders>
        </w:tblPrEx>
        <w:trPr>
          <w:trHeight w:val="743"/>
        </w:trPr>
        <w:tc>
          <w:tcPr>
            <w:tcW w:w="4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5BCF6CA" w14:textId="77777777" w:rsidR="00D14F2F" w:rsidRPr="007D4B5B" w:rsidRDefault="00D14F2F" w:rsidP="00D14F2F">
            <w:r w:rsidRPr="007D4B5B">
              <w:rPr>
                <w:bCs/>
              </w:rPr>
              <w:t xml:space="preserve">68 </w:t>
            </w:r>
            <w:proofErr w:type="spellStart"/>
            <w:r w:rsidRPr="007D4B5B">
              <w:rPr>
                <w:bCs/>
              </w:rPr>
              <w:t>yo</w:t>
            </w:r>
            <w:proofErr w:type="spellEnd"/>
            <w:r w:rsidRPr="007D4B5B">
              <w:rPr>
                <w:bCs/>
              </w:rPr>
              <w:t xml:space="preserve"> M presenting with 4-6 weeks of fevers and weight loss. Blood cultures + for </w:t>
            </w:r>
            <w:r w:rsidRPr="007D4B5B">
              <w:rPr>
                <w:bCs/>
                <w:i/>
                <w:iCs/>
              </w:rPr>
              <w:t xml:space="preserve">Strep </w:t>
            </w:r>
            <w:proofErr w:type="spellStart"/>
            <w:r w:rsidRPr="007D4B5B">
              <w:rPr>
                <w:bCs/>
                <w:i/>
                <w:iCs/>
              </w:rPr>
              <w:t>gallolyticus</w:t>
            </w:r>
            <w:proofErr w:type="spellEnd"/>
          </w:p>
        </w:tc>
        <w:tc>
          <w:tcPr>
            <w:tcW w:w="4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D548624" w14:textId="77777777" w:rsidR="00D14F2F" w:rsidRPr="007D4B5B" w:rsidRDefault="00D14F2F" w:rsidP="00D14F2F">
            <w:pPr>
              <w:rPr>
                <w:bCs/>
              </w:rPr>
            </w:pPr>
            <w:r w:rsidRPr="007D4B5B">
              <w:rPr>
                <w:bCs/>
              </w:rPr>
              <w:t xml:space="preserve">Aqueous penicillin OR ceftriaxone x 4 weeks </w:t>
            </w:r>
          </w:p>
          <w:p w14:paraId="1EAAD5FE" w14:textId="77777777" w:rsidR="00D14F2F" w:rsidRPr="007D4B5B" w:rsidRDefault="00D14F2F" w:rsidP="00D14F2F">
            <w:r w:rsidRPr="007D4B5B">
              <w:rPr>
                <w:bCs/>
              </w:rPr>
              <w:t xml:space="preserve">Note: Could also treat with PCN or CTX PLUS gent for 2 weeks </w:t>
            </w:r>
          </w:p>
          <w:p w14:paraId="1AE02C9F" w14:textId="77777777" w:rsidR="00D14F2F" w:rsidRPr="007D4B5B" w:rsidRDefault="00D14F2F" w:rsidP="00D14F2F">
            <w:r w:rsidRPr="007D4B5B">
              <w:rPr>
                <w:bCs/>
              </w:rPr>
              <w:t>* Patient also needs a colonoscopy ASAP</w:t>
            </w:r>
          </w:p>
        </w:tc>
      </w:tr>
      <w:tr w:rsidR="00D14F2F" w:rsidRPr="007D4B5B" w14:paraId="7CD56F49" w14:textId="77777777" w:rsidTr="07C25BCD">
        <w:trPr>
          <w:trHeight w:val="659"/>
        </w:trPr>
        <w:tc>
          <w:tcPr>
            <w:tcW w:w="4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1149625" w14:textId="77777777" w:rsidR="00D14F2F" w:rsidRPr="007D4B5B" w:rsidRDefault="00D14F2F" w:rsidP="00D14F2F">
            <w:r w:rsidRPr="007D4B5B">
              <w:rPr>
                <w:bCs/>
              </w:rPr>
              <w:t xml:space="preserve">40 </w:t>
            </w:r>
            <w:proofErr w:type="spellStart"/>
            <w:r w:rsidRPr="007D4B5B">
              <w:rPr>
                <w:bCs/>
              </w:rPr>
              <w:t>yo</w:t>
            </w:r>
            <w:proofErr w:type="spellEnd"/>
            <w:r w:rsidRPr="007D4B5B">
              <w:rPr>
                <w:bCs/>
              </w:rPr>
              <w:t xml:space="preserve"> F with history of fistulizing Crohn’s on TPN. Blood cultures with Candida albicans. </w:t>
            </w:r>
          </w:p>
        </w:tc>
        <w:tc>
          <w:tcPr>
            <w:tcW w:w="4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DD0D8A5" w14:textId="537A206D" w:rsidR="00D14F2F" w:rsidRPr="007D4B5B" w:rsidRDefault="00D14F2F" w:rsidP="00D14F2F">
            <w:r w:rsidRPr="007D4B5B">
              <w:rPr>
                <w:bCs/>
              </w:rPr>
              <w:t>Amphotericin B + flucytosine</w:t>
            </w:r>
            <w:r w:rsidR="00FA18BA">
              <w:rPr>
                <w:bCs/>
              </w:rPr>
              <w:t xml:space="preserve"> or Micafungin </w:t>
            </w:r>
          </w:p>
          <w:p w14:paraId="7013E531" w14:textId="526B3696" w:rsidR="00D14F2F" w:rsidRPr="007D4B5B" w:rsidRDefault="40CDAEBA" w:rsidP="00D14F2F">
            <w:r>
              <w:t>CT surgery consult</w:t>
            </w:r>
          </w:p>
          <w:p w14:paraId="464C6BEE" w14:textId="77777777" w:rsidR="00D14F2F" w:rsidRPr="007D4B5B" w:rsidRDefault="00D14F2F" w:rsidP="00D14F2F">
            <w:r w:rsidRPr="007D4B5B">
              <w:rPr>
                <w:bCs/>
              </w:rPr>
              <w:t>Likely will require lifelong suppression with an azole</w:t>
            </w:r>
          </w:p>
        </w:tc>
      </w:tr>
    </w:tbl>
    <w:p w14:paraId="6069B1A8" w14:textId="51D17297" w:rsidR="00D14F2F" w:rsidRDefault="00D14F2F" w:rsidP="007777B5">
      <w:pPr>
        <w:pStyle w:val="Body"/>
        <w:spacing w:after="0"/>
        <w:rPr>
          <w:b/>
          <w:bCs/>
        </w:rPr>
      </w:pPr>
    </w:p>
    <w:p w14:paraId="6B25EEA8" w14:textId="0827F8E4" w:rsidR="00D14F2F" w:rsidRDefault="00D14F2F" w:rsidP="007777B5">
      <w:pPr>
        <w:pStyle w:val="Body"/>
        <w:spacing w:after="0"/>
        <w:rPr>
          <w:b/>
          <w:bCs/>
        </w:rPr>
      </w:pPr>
    </w:p>
    <w:p w14:paraId="0083EF1D" w14:textId="477477E3" w:rsidR="00D14F2F" w:rsidRDefault="00D14F2F" w:rsidP="007777B5">
      <w:pPr>
        <w:pStyle w:val="Body"/>
        <w:spacing w:after="0"/>
        <w:rPr>
          <w:b/>
          <w:bCs/>
        </w:rPr>
      </w:pPr>
    </w:p>
    <w:p w14:paraId="50504D4A" w14:textId="77777777" w:rsidR="000F7ADA" w:rsidRDefault="000F7ADA" w:rsidP="0002670C">
      <w:pPr>
        <w:pStyle w:val="Body"/>
        <w:spacing w:after="0"/>
        <w:rPr>
          <w:b/>
          <w:bCs/>
        </w:rPr>
      </w:pPr>
    </w:p>
    <w:p w14:paraId="4A5D7B85" w14:textId="77777777" w:rsidR="000F7ADA" w:rsidRDefault="000F7ADA" w:rsidP="0002670C">
      <w:pPr>
        <w:pStyle w:val="Body"/>
        <w:spacing w:after="0"/>
        <w:rPr>
          <w:b/>
          <w:bCs/>
        </w:rPr>
      </w:pPr>
    </w:p>
    <w:p w14:paraId="72198557" w14:textId="7F5869F7" w:rsidR="0002670C" w:rsidRPr="0002670C" w:rsidRDefault="000F7ADA" w:rsidP="0002670C">
      <w:pPr>
        <w:pStyle w:val="Body"/>
        <w:spacing w:after="0"/>
        <w:rPr>
          <w:b/>
          <w:bCs/>
        </w:rPr>
      </w:pPr>
      <w:r>
        <w:rPr>
          <w:b/>
          <w:bCs/>
        </w:rPr>
        <w:br/>
      </w:r>
      <w:r w:rsidR="0002670C" w:rsidRPr="07C25BCD">
        <w:rPr>
          <w:b/>
          <w:bCs/>
        </w:rPr>
        <w:t xml:space="preserve">Supplemental Questions </w:t>
      </w:r>
    </w:p>
    <w:p w14:paraId="0CB57615" w14:textId="61C8BFB4" w:rsidR="0002670C" w:rsidRDefault="0002670C" w:rsidP="0002670C">
      <w:pPr>
        <w:spacing w:after="0"/>
        <w:rPr>
          <w:b/>
          <w:bCs/>
        </w:rPr>
      </w:pPr>
      <w:r>
        <w:rPr>
          <w:b/>
          <w:bCs/>
        </w:rPr>
        <w:t>What is your differential diagnosis for culture negative endocarditis?</w:t>
      </w:r>
      <w:r w:rsidR="007777B5">
        <w:rPr>
          <w:b/>
          <w:bCs/>
        </w:rPr>
        <w:t xml:space="preserve"> </w:t>
      </w:r>
    </w:p>
    <w:p w14:paraId="4A8229FB" w14:textId="1386001C" w:rsidR="00D14F2F" w:rsidRDefault="00F85E76" w:rsidP="00D14F2F">
      <w:pPr>
        <w:spacing w:after="0" w:line="240" w:lineRule="auto"/>
      </w:pPr>
      <w:r>
        <w:t>Antibiotics administered before cultures drawn (Most common cause)</w:t>
      </w:r>
    </w:p>
    <w:p w14:paraId="16BEFC5B" w14:textId="26C45AFC" w:rsidR="00F85E76" w:rsidRDefault="00F85E76" w:rsidP="00D14F2F">
      <w:pPr>
        <w:spacing w:after="0" w:line="240" w:lineRule="auto"/>
      </w:pPr>
      <w:r>
        <w:t>Brucella</w:t>
      </w:r>
    </w:p>
    <w:p w14:paraId="55E33E27" w14:textId="4B9F8371" w:rsidR="00F85E76" w:rsidRDefault="00F85E76" w:rsidP="00D14F2F">
      <w:pPr>
        <w:spacing w:after="0" w:line="240" w:lineRule="auto"/>
      </w:pPr>
      <w:r>
        <w:t>Bartonella</w:t>
      </w:r>
    </w:p>
    <w:p w14:paraId="41827685" w14:textId="6CAF9C7D" w:rsidR="00F85E76" w:rsidRDefault="00F85E76" w:rsidP="00D14F2F">
      <w:pPr>
        <w:spacing w:after="0" w:line="240" w:lineRule="auto"/>
      </w:pPr>
      <w:r>
        <w:t xml:space="preserve">Coxiella </w:t>
      </w:r>
      <w:proofErr w:type="spellStart"/>
      <w:r>
        <w:t>burnetti</w:t>
      </w:r>
      <w:proofErr w:type="spellEnd"/>
      <w:r>
        <w:t xml:space="preserve"> (Q fever) </w:t>
      </w:r>
    </w:p>
    <w:p w14:paraId="281357BB" w14:textId="2580E868" w:rsidR="00F85E76" w:rsidRDefault="00F85E76" w:rsidP="00D14F2F">
      <w:pPr>
        <w:spacing w:after="0" w:line="240" w:lineRule="auto"/>
      </w:pPr>
      <w:r>
        <w:t>Chlamydia</w:t>
      </w:r>
    </w:p>
    <w:p w14:paraId="5D60A5C9" w14:textId="33C4D4D3" w:rsidR="00F85E76" w:rsidRDefault="00F85E76" w:rsidP="00D14F2F">
      <w:pPr>
        <w:spacing w:after="0" w:line="240" w:lineRule="auto"/>
      </w:pPr>
      <w:r>
        <w:t xml:space="preserve">Legionella </w:t>
      </w:r>
    </w:p>
    <w:p w14:paraId="21256318" w14:textId="07DC2D37" w:rsidR="00F85E76" w:rsidRDefault="00F85E76" w:rsidP="00D14F2F">
      <w:pPr>
        <w:spacing w:after="0" w:line="240" w:lineRule="auto"/>
      </w:pPr>
      <w:r>
        <w:t>Mycoplasma</w:t>
      </w:r>
    </w:p>
    <w:p w14:paraId="489A4763" w14:textId="77777777" w:rsidR="00F85E76" w:rsidRDefault="00F85E76" w:rsidP="00F85E76">
      <w:pPr>
        <w:spacing w:after="0" w:line="240" w:lineRule="auto"/>
      </w:pPr>
      <w:proofErr w:type="spellStart"/>
      <w:r w:rsidRPr="00803680">
        <w:t>Whipples</w:t>
      </w:r>
      <w:proofErr w:type="spellEnd"/>
      <w:r w:rsidRPr="00803680">
        <w:t> disease (T </w:t>
      </w:r>
      <w:proofErr w:type="spellStart"/>
      <w:r w:rsidRPr="00803680">
        <w:t>whipplei</w:t>
      </w:r>
      <w:proofErr w:type="spellEnd"/>
      <w:r w:rsidRPr="00803680">
        <w:t>)</w:t>
      </w:r>
    </w:p>
    <w:p w14:paraId="58BDCA6F" w14:textId="537E124A" w:rsidR="00F85E76" w:rsidRDefault="00F85E76" w:rsidP="00F85E76">
      <w:pPr>
        <w:spacing w:after="0" w:line="240" w:lineRule="auto"/>
      </w:pPr>
      <w:proofErr w:type="spellStart"/>
      <w:r>
        <w:t>Libman</w:t>
      </w:r>
      <w:proofErr w:type="spellEnd"/>
      <w:r>
        <w:t xml:space="preserve"> Sacks/other autoimmune (rheumatoid, </w:t>
      </w:r>
      <w:proofErr w:type="spellStart"/>
      <w:r>
        <w:t>Behcets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13DFCD6B" w14:textId="77777777" w:rsidR="00F85E76" w:rsidRDefault="00F85E76" w:rsidP="00F85E76">
      <w:pPr>
        <w:spacing w:after="0" w:line="240" w:lineRule="auto"/>
      </w:pPr>
      <w:r>
        <w:t xml:space="preserve">Malignancy (myxoma, </w:t>
      </w:r>
      <w:proofErr w:type="spellStart"/>
      <w:r>
        <w:t>etc</w:t>
      </w:r>
      <w:proofErr w:type="spellEnd"/>
      <w:r>
        <w:t>)</w:t>
      </w:r>
    </w:p>
    <w:p w14:paraId="26909639" w14:textId="77777777" w:rsidR="00F85E76" w:rsidRDefault="00F85E76" w:rsidP="00F85E76">
      <w:pPr>
        <w:spacing w:after="0" w:line="240" w:lineRule="auto"/>
      </w:pPr>
    </w:p>
    <w:p w14:paraId="24BF4537" w14:textId="77777777" w:rsidR="00F85E76" w:rsidRDefault="00F85E76" w:rsidP="00D14F2F">
      <w:pPr>
        <w:spacing w:after="0" w:line="240" w:lineRule="auto"/>
      </w:pPr>
    </w:p>
    <w:p w14:paraId="7AC52068" w14:textId="77777777" w:rsidR="00F85E76" w:rsidRDefault="00F85E76" w:rsidP="00D14F2F">
      <w:pPr>
        <w:spacing w:after="0" w:line="240" w:lineRule="auto"/>
      </w:pPr>
    </w:p>
    <w:p w14:paraId="6298A40E" w14:textId="628529A2" w:rsidR="00F85E76" w:rsidRDefault="00FA18BA" w:rsidP="00F85E76">
      <w:pPr>
        <w:spacing w:after="0"/>
        <w:rPr>
          <w:b/>
        </w:rPr>
      </w:pPr>
      <w:r>
        <w:rPr>
          <w:b/>
        </w:rPr>
        <w:t>If you end early – great time to sneak in a</w:t>
      </w:r>
      <w:r w:rsidR="002C7F29">
        <w:rPr>
          <w:b/>
        </w:rPr>
        <w:t xml:space="preserve"> generalized </w:t>
      </w:r>
      <w:r>
        <w:rPr>
          <w:b/>
        </w:rPr>
        <w:t xml:space="preserve">antibiotic review for coverage and common adverse effects! </w:t>
      </w:r>
    </w:p>
    <w:p w14:paraId="58DF2BF8" w14:textId="2A383BA3" w:rsidR="003B0326" w:rsidRDefault="00FA18BA" w:rsidP="00F85E76">
      <w:pPr>
        <w:spacing w:after="0"/>
      </w:pPr>
      <w:r w:rsidRPr="002C7F29">
        <w:rPr>
          <w:u w:val="single"/>
        </w:rPr>
        <w:t>MRSA Coverage:</w:t>
      </w:r>
      <w:r w:rsidR="002C7F29">
        <w:t xml:space="preserve"> </w:t>
      </w:r>
      <w:proofErr w:type="spellStart"/>
      <w:r w:rsidR="002C7F29">
        <w:t>Ceftaroline</w:t>
      </w:r>
      <w:proofErr w:type="spellEnd"/>
      <w:r w:rsidR="002C7F29">
        <w:t>, Doxyc</w:t>
      </w:r>
      <w:r w:rsidR="003B0326">
        <w:t>yc</w:t>
      </w:r>
      <w:r w:rsidR="002C7F29">
        <w:t>line, Daptomycin, Vancomycin, Telavancin, Bactrim, Linezolid, Clinda</w:t>
      </w:r>
      <w:r w:rsidR="003B0326">
        <w:t>mycin</w:t>
      </w:r>
      <w:r w:rsidR="002C7F29">
        <w:t xml:space="preserve"> (can be variable)</w:t>
      </w:r>
      <w:r w:rsidR="003B0326">
        <w:t>, Delafloxacin</w:t>
      </w:r>
    </w:p>
    <w:p w14:paraId="65808EA1" w14:textId="77777777" w:rsidR="003B0326" w:rsidRPr="002C7F29" w:rsidRDefault="003B0326" w:rsidP="00F85E76">
      <w:pPr>
        <w:spacing w:after="0"/>
      </w:pPr>
    </w:p>
    <w:p w14:paraId="6485690E" w14:textId="2DAC5F4C" w:rsidR="00F85E76" w:rsidRPr="003B0326" w:rsidRDefault="00FA18BA" w:rsidP="003B0326">
      <w:pPr>
        <w:spacing w:after="0" w:line="240" w:lineRule="auto"/>
      </w:pPr>
      <w:r w:rsidRPr="07C25BCD">
        <w:rPr>
          <w:u w:val="single"/>
        </w:rPr>
        <w:t>PSA Coverage</w:t>
      </w:r>
      <w:r>
        <w:t>:</w:t>
      </w:r>
      <w:r w:rsidR="002C7F29">
        <w:t xml:space="preserve"> Pip</w:t>
      </w:r>
      <w:r w:rsidR="003B0326">
        <w:t>eracillin</w:t>
      </w:r>
      <w:r w:rsidR="002C7F29">
        <w:t>-Tazo</w:t>
      </w:r>
      <w:r w:rsidR="003B0326">
        <w:t>bactam</w:t>
      </w:r>
      <w:r w:rsidR="002C7F29">
        <w:t xml:space="preserve">, Carbapenems (except ertapenem!), Aztreonam, Cipro/Levofloxacin, </w:t>
      </w:r>
      <w:proofErr w:type="spellStart"/>
      <w:r w:rsidR="002C7F29">
        <w:t>Ceftolozane</w:t>
      </w:r>
      <w:proofErr w:type="spellEnd"/>
      <w:r w:rsidR="002C7F29">
        <w:t>/Tazobactam, Ceftazidime, Cefepime, Ceftaz</w:t>
      </w:r>
      <w:r w:rsidR="003B0326">
        <w:t>idime/Avibactam, Aminoglycosides, Polymyxin B, Colistin</w:t>
      </w:r>
    </w:p>
    <w:p w14:paraId="00B1D6AD" w14:textId="77777777" w:rsidR="000F7ADA" w:rsidRDefault="000F7ADA" w:rsidP="00F85E76">
      <w:pPr>
        <w:spacing w:after="0"/>
        <w:jc w:val="center"/>
        <w:rPr>
          <w:b/>
        </w:rPr>
      </w:pPr>
    </w:p>
    <w:p w14:paraId="367A5111" w14:textId="77777777" w:rsidR="000F7ADA" w:rsidRDefault="000F7ADA" w:rsidP="00F85E76">
      <w:pPr>
        <w:spacing w:after="0"/>
        <w:jc w:val="center"/>
        <w:rPr>
          <w:b/>
        </w:rPr>
      </w:pPr>
    </w:p>
    <w:p w14:paraId="37EA8FB4" w14:textId="41856B83" w:rsidR="00DC716C" w:rsidRPr="0002670C" w:rsidRDefault="00DC716C" w:rsidP="00F85E76">
      <w:pPr>
        <w:spacing w:after="0"/>
        <w:jc w:val="center"/>
        <w:rPr>
          <w:b/>
        </w:rPr>
      </w:pPr>
      <w:r w:rsidRPr="00062AD5">
        <w:rPr>
          <w:b/>
        </w:rPr>
        <w:lastRenderedPageBreak/>
        <w:t>Appendix</w:t>
      </w:r>
    </w:p>
    <w:p w14:paraId="7D187E35" w14:textId="70EA170D" w:rsidR="00DC716C" w:rsidRPr="00DC0C87" w:rsidRDefault="7FB960E3" w:rsidP="006E236D">
      <w:pPr>
        <w:spacing w:line="240" w:lineRule="auto"/>
        <w:contextualSpacing/>
        <w:rPr>
          <w:b/>
          <w:bCs/>
        </w:rPr>
      </w:pPr>
      <w:r w:rsidRPr="57FA4B68">
        <w:rPr>
          <w:b/>
          <w:bCs/>
        </w:rPr>
        <w:t>High Risk Echocardiogram features:</w:t>
      </w:r>
    </w:p>
    <w:p w14:paraId="0E4CC28E" w14:textId="77777777" w:rsidR="00DC716C" w:rsidRPr="00DC0C87" w:rsidRDefault="7FB960E3" w:rsidP="006E236D">
      <w:pPr>
        <w:numPr>
          <w:ilvl w:val="0"/>
          <w:numId w:val="30"/>
        </w:numPr>
        <w:spacing w:line="240" w:lineRule="auto"/>
        <w:contextualSpacing/>
      </w:pPr>
      <w:r>
        <w:t>Large (&gt;10mm in diameter) or mobile vegetations</w:t>
      </w:r>
    </w:p>
    <w:p w14:paraId="71B6F801" w14:textId="77777777" w:rsidR="00DC716C" w:rsidRPr="00DC0C87" w:rsidRDefault="7FB960E3" w:rsidP="006E236D">
      <w:pPr>
        <w:numPr>
          <w:ilvl w:val="0"/>
          <w:numId w:val="30"/>
        </w:numPr>
        <w:spacing w:line="240" w:lineRule="auto"/>
        <w:contextualSpacing/>
      </w:pPr>
      <w:r>
        <w:t>Severe valvular insufficiency</w:t>
      </w:r>
    </w:p>
    <w:p w14:paraId="197A6F70" w14:textId="77777777" w:rsidR="00DC716C" w:rsidRPr="00DC0C87" w:rsidRDefault="7FB960E3" w:rsidP="006E236D">
      <w:pPr>
        <w:numPr>
          <w:ilvl w:val="0"/>
          <w:numId w:val="30"/>
        </w:numPr>
        <w:spacing w:line="240" w:lineRule="auto"/>
        <w:contextualSpacing/>
      </w:pPr>
      <w:r>
        <w:t>Abscess cavities or pseudoaneurysms</w:t>
      </w:r>
    </w:p>
    <w:p w14:paraId="3E48935A" w14:textId="77777777" w:rsidR="00DC716C" w:rsidRPr="00DC0C87" w:rsidRDefault="7FB960E3" w:rsidP="006E236D">
      <w:pPr>
        <w:numPr>
          <w:ilvl w:val="0"/>
          <w:numId w:val="30"/>
        </w:numPr>
        <w:spacing w:line="240" w:lineRule="auto"/>
        <w:contextualSpacing/>
      </w:pPr>
      <w:r>
        <w:t>Valvular perforation or dehiscence</w:t>
      </w:r>
    </w:p>
    <w:p w14:paraId="695B8BD1" w14:textId="77777777" w:rsidR="00E71E69" w:rsidRDefault="7FB960E3" w:rsidP="57FA4B68">
      <w:pPr>
        <w:numPr>
          <w:ilvl w:val="0"/>
          <w:numId w:val="30"/>
        </w:numPr>
        <w:spacing w:line="240" w:lineRule="auto"/>
        <w:contextualSpacing/>
      </w:pPr>
      <w:r>
        <w:t>Evidence of decompensated heart failure</w:t>
      </w:r>
    </w:p>
    <w:p w14:paraId="1080A00E" w14:textId="77777777" w:rsidR="00E71E69" w:rsidRPr="00E71E69" w:rsidRDefault="00E71E69" w:rsidP="00E71E69">
      <w:pPr>
        <w:spacing w:line="240" w:lineRule="auto"/>
        <w:ind w:left="720"/>
        <w:contextualSpacing/>
      </w:pPr>
    </w:p>
    <w:p w14:paraId="5B7FCD47" w14:textId="780FC835" w:rsidR="00DC716C" w:rsidRPr="00064EA2" w:rsidRDefault="00DC716C" w:rsidP="07C25BCD">
      <w:pPr>
        <w:spacing w:line="240" w:lineRule="auto"/>
        <w:contextualSpacing/>
      </w:pPr>
      <w:r w:rsidRPr="07C25BCD">
        <w:rPr>
          <w:b/>
          <w:bCs/>
          <w:sz w:val="20"/>
          <w:szCs w:val="20"/>
          <w:u w:val="single"/>
        </w:rPr>
        <w:t>Modified Duke Criteria for Endocarditis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DC716C" w:rsidRPr="00DC0C87" w14:paraId="53A90CC1" w14:textId="77777777" w:rsidTr="00062AD5">
        <w:tc>
          <w:tcPr>
            <w:tcW w:w="10795" w:type="dxa"/>
            <w:shd w:val="clear" w:color="auto" w:fill="BFBFBF"/>
          </w:tcPr>
          <w:p w14:paraId="05DFB243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Definite IE</w:t>
            </w:r>
          </w:p>
        </w:tc>
      </w:tr>
      <w:tr w:rsidR="00DC716C" w:rsidRPr="00DC0C87" w14:paraId="3B98E749" w14:textId="77777777" w:rsidTr="00062AD5">
        <w:tc>
          <w:tcPr>
            <w:tcW w:w="10795" w:type="dxa"/>
            <w:shd w:val="clear" w:color="auto" w:fill="auto"/>
          </w:tcPr>
          <w:p w14:paraId="5270B53A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Pathologic criteria</w:t>
            </w:r>
          </w:p>
        </w:tc>
      </w:tr>
      <w:tr w:rsidR="00DC716C" w:rsidRPr="00DC0C87" w14:paraId="6770E143" w14:textId="77777777" w:rsidTr="00062AD5">
        <w:tc>
          <w:tcPr>
            <w:tcW w:w="10795" w:type="dxa"/>
            <w:shd w:val="clear" w:color="auto" w:fill="auto"/>
          </w:tcPr>
          <w:p w14:paraId="29AF58C5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Microorganism: demonstrated by culture or histological examination of a vegetation, a vegetation that has embolized, or an intracardiac abscess specimen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42BEC96C" w14:textId="77777777" w:rsidTr="00062AD5">
        <w:tc>
          <w:tcPr>
            <w:tcW w:w="10795" w:type="dxa"/>
            <w:shd w:val="clear" w:color="auto" w:fill="auto"/>
          </w:tcPr>
          <w:p w14:paraId="5749CEE3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Pathologic lesions: vegetation or intracardiac abscess confirmed by histological examination showing active endocarditis.</w:t>
            </w:r>
          </w:p>
        </w:tc>
      </w:tr>
      <w:tr w:rsidR="00DC716C" w:rsidRPr="00DC0C87" w14:paraId="068C580B" w14:textId="77777777" w:rsidTr="00062AD5">
        <w:tc>
          <w:tcPr>
            <w:tcW w:w="10795" w:type="dxa"/>
            <w:shd w:val="clear" w:color="auto" w:fill="auto"/>
          </w:tcPr>
          <w:p w14:paraId="5702BA31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Clinical criteria</w:t>
            </w:r>
          </w:p>
        </w:tc>
      </w:tr>
      <w:tr w:rsidR="00DC716C" w:rsidRPr="00DC0C87" w14:paraId="589D2984" w14:textId="77777777" w:rsidTr="00062AD5">
        <w:tc>
          <w:tcPr>
            <w:tcW w:w="10795" w:type="dxa"/>
            <w:shd w:val="clear" w:color="auto" w:fill="auto"/>
          </w:tcPr>
          <w:p w14:paraId="43074D76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Using specific definitions listed in Table 2:</w:t>
            </w:r>
          </w:p>
        </w:tc>
      </w:tr>
      <w:tr w:rsidR="00DC716C" w:rsidRPr="00DC0C87" w14:paraId="6AE905DF" w14:textId="77777777" w:rsidTr="00062AD5">
        <w:tc>
          <w:tcPr>
            <w:tcW w:w="10795" w:type="dxa"/>
            <w:shd w:val="clear" w:color="auto" w:fill="auto"/>
          </w:tcPr>
          <w:p w14:paraId="2264FAE0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2 major criteria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555E91F4" w14:textId="77777777" w:rsidTr="00062AD5">
        <w:tc>
          <w:tcPr>
            <w:tcW w:w="10795" w:type="dxa"/>
            <w:shd w:val="clear" w:color="auto" w:fill="auto"/>
          </w:tcPr>
          <w:p w14:paraId="4AEAB52A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1 major and 3 minor criteria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09F15DDF" w14:textId="77777777" w:rsidTr="00062AD5">
        <w:tc>
          <w:tcPr>
            <w:tcW w:w="10795" w:type="dxa"/>
            <w:shd w:val="clear" w:color="auto" w:fill="auto"/>
          </w:tcPr>
          <w:p w14:paraId="1ECC8B59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5 minor criteria</w:t>
            </w:r>
          </w:p>
        </w:tc>
      </w:tr>
      <w:tr w:rsidR="00DC716C" w:rsidRPr="00DC0C87" w14:paraId="11250A9B" w14:textId="77777777" w:rsidTr="00062AD5">
        <w:tc>
          <w:tcPr>
            <w:tcW w:w="10795" w:type="dxa"/>
            <w:shd w:val="clear" w:color="auto" w:fill="BFBFBF"/>
          </w:tcPr>
          <w:p w14:paraId="10E01EF9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Possible IE</w:t>
            </w:r>
          </w:p>
        </w:tc>
      </w:tr>
      <w:tr w:rsidR="00DC716C" w:rsidRPr="00DC0C87" w14:paraId="60A81DB7" w14:textId="77777777" w:rsidTr="00062AD5">
        <w:tc>
          <w:tcPr>
            <w:tcW w:w="10795" w:type="dxa"/>
            <w:shd w:val="clear" w:color="auto" w:fill="auto"/>
          </w:tcPr>
          <w:p w14:paraId="422E0948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1 major criterion and 1 minor criterion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57FA7A8C" w14:textId="77777777" w:rsidTr="00062AD5">
        <w:tc>
          <w:tcPr>
            <w:tcW w:w="10795" w:type="dxa"/>
            <w:shd w:val="clear" w:color="auto" w:fill="auto"/>
          </w:tcPr>
          <w:p w14:paraId="0DA1ABC5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3 minor criteria</w:t>
            </w:r>
          </w:p>
        </w:tc>
      </w:tr>
      <w:tr w:rsidR="00DC716C" w:rsidRPr="00DC0C87" w14:paraId="3DF4B5AC" w14:textId="77777777" w:rsidTr="00062AD5">
        <w:tc>
          <w:tcPr>
            <w:tcW w:w="10795" w:type="dxa"/>
            <w:shd w:val="clear" w:color="auto" w:fill="BFBFBF"/>
          </w:tcPr>
          <w:p w14:paraId="5B7BA91F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Rejected IE</w:t>
            </w:r>
          </w:p>
        </w:tc>
      </w:tr>
      <w:tr w:rsidR="00DC716C" w:rsidRPr="00DC0C87" w14:paraId="125A1C70" w14:textId="77777777" w:rsidTr="00062AD5">
        <w:tc>
          <w:tcPr>
            <w:tcW w:w="10795" w:type="dxa"/>
            <w:shd w:val="clear" w:color="auto" w:fill="auto"/>
          </w:tcPr>
          <w:p w14:paraId="0D238366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Firm alternate diagnosis for manifestations of endocarditis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5C9C1979" w14:textId="77777777" w:rsidTr="00062AD5">
        <w:tc>
          <w:tcPr>
            <w:tcW w:w="10795" w:type="dxa"/>
            <w:shd w:val="clear" w:color="auto" w:fill="auto"/>
          </w:tcPr>
          <w:p w14:paraId="61726713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Resolution of manifestations of endocarditis, with antibiotic therapy for four days or less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3538B83D" w14:textId="77777777" w:rsidTr="00062AD5">
        <w:tc>
          <w:tcPr>
            <w:tcW w:w="10795" w:type="dxa"/>
            <w:shd w:val="clear" w:color="auto" w:fill="auto"/>
          </w:tcPr>
          <w:p w14:paraId="2505187C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No pathologic evidence of infective endocarditis at surgery or autopsy after antibiotic therapy for four days or less</w:t>
            </w:r>
          </w:p>
        </w:tc>
      </w:tr>
      <w:tr w:rsidR="00DC716C" w:rsidRPr="00DC0C87" w14:paraId="1CDC2C22" w14:textId="77777777" w:rsidTr="00062AD5">
        <w:tc>
          <w:tcPr>
            <w:tcW w:w="10795" w:type="dxa"/>
            <w:shd w:val="clear" w:color="auto" w:fill="auto"/>
          </w:tcPr>
          <w:p w14:paraId="46A8B9F1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Does not meet criteria for possible infective endocarditis, as above</w:t>
            </w:r>
          </w:p>
        </w:tc>
      </w:tr>
    </w:tbl>
    <w:p w14:paraId="2AF559C0" w14:textId="7B73E620" w:rsidR="57FA4B68" w:rsidRDefault="57FA4B68" w:rsidP="57FA4B68">
      <w:pPr>
        <w:pStyle w:val="MediumGrid21"/>
        <w:rPr>
          <w:b/>
          <w:bCs/>
          <w:sz w:val="20"/>
          <w:szCs w:val="20"/>
          <w:u w:val="single"/>
        </w:rPr>
      </w:pPr>
    </w:p>
    <w:p w14:paraId="212AA8D6" w14:textId="038AC57D" w:rsidR="0098217E" w:rsidRDefault="0098217E" w:rsidP="00DC716C">
      <w:pPr>
        <w:pStyle w:val="MediumGrid21"/>
        <w:rPr>
          <w:b/>
          <w:sz w:val="20"/>
          <w:szCs w:val="20"/>
          <w:u w:val="single"/>
        </w:rPr>
      </w:pPr>
    </w:p>
    <w:p w14:paraId="7DC70D72" w14:textId="77777777" w:rsidR="00D14F2F" w:rsidRDefault="00D14F2F" w:rsidP="00DC716C">
      <w:pPr>
        <w:pStyle w:val="MediumGrid21"/>
        <w:rPr>
          <w:b/>
          <w:sz w:val="20"/>
          <w:szCs w:val="20"/>
          <w:u w:val="single"/>
        </w:rPr>
      </w:pPr>
    </w:p>
    <w:p w14:paraId="3EFDB932" w14:textId="76687A59" w:rsidR="00DC716C" w:rsidRPr="00DC0C87" w:rsidRDefault="00DC716C" w:rsidP="00DC716C">
      <w:pPr>
        <w:pStyle w:val="MediumGrid21"/>
        <w:rPr>
          <w:b/>
          <w:sz w:val="20"/>
          <w:szCs w:val="20"/>
          <w:u w:val="single"/>
        </w:rPr>
      </w:pPr>
      <w:r w:rsidRPr="00DC0C87">
        <w:rPr>
          <w:b/>
          <w:sz w:val="20"/>
          <w:szCs w:val="20"/>
          <w:u w:val="single"/>
        </w:rPr>
        <w:t xml:space="preserve">Definition of Terms Used in the Modified Duke Criteria for the Diagnosis of </w:t>
      </w:r>
      <w:r>
        <w:rPr>
          <w:b/>
          <w:sz w:val="20"/>
          <w:szCs w:val="20"/>
          <w:u w:val="single"/>
        </w:rPr>
        <w:t>IE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DC716C" w:rsidRPr="00DC0C87" w14:paraId="5C0AF839" w14:textId="77777777" w:rsidTr="00062AD5">
        <w:tc>
          <w:tcPr>
            <w:tcW w:w="10795" w:type="dxa"/>
            <w:shd w:val="clear" w:color="auto" w:fill="BFBFBF"/>
          </w:tcPr>
          <w:p w14:paraId="26A0A512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Major Criteria</w:t>
            </w:r>
          </w:p>
        </w:tc>
      </w:tr>
      <w:tr w:rsidR="00DC716C" w:rsidRPr="00DC0C87" w14:paraId="7D301684" w14:textId="77777777" w:rsidTr="00062AD5">
        <w:tc>
          <w:tcPr>
            <w:tcW w:w="10795" w:type="dxa"/>
            <w:shd w:val="clear" w:color="auto" w:fill="auto"/>
          </w:tcPr>
          <w:p w14:paraId="394D17FE" w14:textId="77777777" w:rsidR="00DC716C" w:rsidRPr="00062AD5" w:rsidRDefault="00DC716C" w:rsidP="00062AD5">
            <w:pPr>
              <w:pStyle w:val="MediumGrid21"/>
              <w:rPr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Blood culture positive for IE</w:t>
            </w:r>
          </w:p>
        </w:tc>
      </w:tr>
      <w:tr w:rsidR="00DC716C" w:rsidRPr="00DC0C87" w14:paraId="22F92E40" w14:textId="77777777" w:rsidTr="00062AD5">
        <w:tc>
          <w:tcPr>
            <w:tcW w:w="10795" w:type="dxa"/>
            <w:shd w:val="clear" w:color="auto" w:fill="auto"/>
          </w:tcPr>
          <w:p w14:paraId="590D6E03" w14:textId="77777777" w:rsidR="00DC716C" w:rsidRPr="00062AD5" w:rsidRDefault="00DC716C" w:rsidP="00062AD5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Typical microorganisms consistent with IE from 2 separate blood cultures</w:t>
            </w:r>
          </w:p>
        </w:tc>
      </w:tr>
      <w:tr w:rsidR="00DC716C" w:rsidRPr="00DC0C87" w14:paraId="4B2198C3" w14:textId="77777777" w:rsidTr="00062AD5">
        <w:tc>
          <w:tcPr>
            <w:tcW w:w="10795" w:type="dxa"/>
            <w:shd w:val="clear" w:color="auto" w:fill="auto"/>
          </w:tcPr>
          <w:p w14:paraId="1E3DACB1" w14:textId="77777777" w:rsidR="00DC716C" w:rsidRPr="00062AD5" w:rsidRDefault="00DC716C" w:rsidP="00062AD5">
            <w:pPr>
              <w:pStyle w:val="MediumGrid21"/>
              <w:ind w:left="1440"/>
              <w:rPr>
                <w:sz w:val="20"/>
                <w:szCs w:val="20"/>
              </w:rPr>
            </w:pPr>
            <w:proofErr w:type="spellStart"/>
            <w:r w:rsidRPr="00062AD5">
              <w:rPr>
                <w:sz w:val="20"/>
                <w:szCs w:val="20"/>
              </w:rPr>
              <w:t>Viridans</w:t>
            </w:r>
            <w:proofErr w:type="spellEnd"/>
            <w:r w:rsidRPr="00062AD5">
              <w:rPr>
                <w:sz w:val="20"/>
                <w:szCs w:val="20"/>
              </w:rPr>
              <w:t xml:space="preserve"> streptococci</w:t>
            </w:r>
          </w:p>
        </w:tc>
      </w:tr>
      <w:tr w:rsidR="00DC716C" w:rsidRPr="00DC0C87" w14:paraId="6844A4D2" w14:textId="77777777" w:rsidTr="00062AD5">
        <w:tc>
          <w:tcPr>
            <w:tcW w:w="10795" w:type="dxa"/>
            <w:shd w:val="clear" w:color="auto" w:fill="auto"/>
          </w:tcPr>
          <w:p w14:paraId="2AB34F1F" w14:textId="77777777" w:rsidR="00DC716C" w:rsidRPr="00062AD5" w:rsidRDefault="00DC716C" w:rsidP="00062AD5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i/>
                <w:sz w:val="20"/>
                <w:szCs w:val="20"/>
              </w:rPr>
              <w:t xml:space="preserve">Streptococcus </w:t>
            </w:r>
            <w:proofErr w:type="spellStart"/>
            <w:r w:rsidRPr="00062AD5">
              <w:rPr>
                <w:i/>
                <w:sz w:val="20"/>
                <w:szCs w:val="20"/>
              </w:rPr>
              <w:t>gallolyticus</w:t>
            </w:r>
            <w:proofErr w:type="spellEnd"/>
            <w:r w:rsidRPr="00062AD5">
              <w:rPr>
                <w:sz w:val="20"/>
                <w:szCs w:val="20"/>
              </w:rPr>
              <w:t xml:space="preserve"> (formerly </w:t>
            </w:r>
            <w:r w:rsidRPr="00062AD5">
              <w:rPr>
                <w:i/>
                <w:sz w:val="20"/>
                <w:szCs w:val="20"/>
              </w:rPr>
              <w:t xml:space="preserve">S. </w:t>
            </w:r>
            <w:proofErr w:type="spellStart"/>
            <w:r w:rsidRPr="00062AD5">
              <w:rPr>
                <w:i/>
                <w:sz w:val="20"/>
                <w:szCs w:val="20"/>
              </w:rPr>
              <w:t>bovis</w:t>
            </w:r>
            <w:proofErr w:type="spellEnd"/>
            <w:r w:rsidRPr="00062AD5">
              <w:rPr>
                <w:sz w:val="20"/>
                <w:szCs w:val="20"/>
              </w:rPr>
              <w:t>), including nutritional variant strains (</w:t>
            </w:r>
            <w:proofErr w:type="spellStart"/>
            <w:r w:rsidRPr="00062AD5">
              <w:rPr>
                <w:i/>
                <w:sz w:val="20"/>
                <w:szCs w:val="20"/>
              </w:rPr>
              <w:t>Granulicatella</w:t>
            </w:r>
            <w:proofErr w:type="spellEnd"/>
            <w:r w:rsidRPr="00062AD5">
              <w:rPr>
                <w:sz w:val="20"/>
                <w:szCs w:val="20"/>
              </w:rPr>
              <w:t xml:space="preserve"> </w:t>
            </w:r>
            <w:proofErr w:type="spellStart"/>
            <w:r w:rsidRPr="00062AD5">
              <w:rPr>
                <w:sz w:val="20"/>
                <w:szCs w:val="20"/>
              </w:rPr>
              <w:t>spp</w:t>
            </w:r>
            <w:proofErr w:type="spellEnd"/>
            <w:r w:rsidRPr="00062AD5">
              <w:rPr>
                <w:sz w:val="20"/>
                <w:szCs w:val="20"/>
              </w:rPr>
              <w:t xml:space="preserve"> and </w:t>
            </w:r>
            <w:proofErr w:type="spellStart"/>
            <w:r w:rsidRPr="00062AD5">
              <w:rPr>
                <w:i/>
                <w:sz w:val="20"/>
                <w:szCs w:val="20"/>
              </w:rPr>
              <w:t>Abiotrophia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AD5">
              <w:rPr>
                <w:i/>
                <w:sz w:val="20"/>
                <w:szCs w:val="20"/>
              </w:rPr>
              <w:t>defectiva</w:t>
            </w:r>
            <w:proofErr w:type="spellEnd"/>
            <w:r w:rsidRPr="00062AD5">
              <w:rPr>
                <w:sz w:val="20"/>
                <w:szCs w:val="20"/>
              </w:rPr>
              <w:t>)</w:t>
            </w:r>
          </w:p>
        </w:tc>
      </w:tr>
      <w:tr w:rsidR="00DC716C" w:rsidRPr="00DC0C87" w14:paraId="448F8726" w14:textId="77777777" w:rsidTr="00062AD5">
        <w:tc>
          <w:tcPr>
            <w:tcW w:w="10795" w:type="dxa"/>
            <w:shd w:val="clear" w:color="auto" w:fill="auto"/>
          </w:tcPr>
          <w:p w14:paraId="04CDEC22" w14:textId="77777777" w:rsidR="00DC716C" w:rsidRPr="00062AD5" w:rsidRDefault="00DC716C" w:rsidP="00062AD5">
            <w:pPr>
              <w:pStyle w:val="MediumGrid21"/>
              <w:ind w:left="1440"/>
              <w:rPr>
                <w:i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HACEK group: </w:t>
            </w:r>
            <w:proofErr w:type="spellStart"/>
            <w:r w:rsidRPr="00062AD5">
              <w:rPr>
                <w:i/>
                <w:sz w:val="20"/>
                <w:szCs w:val="20"/>
              </w:rPr>
              <w:t>Haemophilus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AD5">
              <w:rPr>
                <w:sz w:val="20"/>
                <w:szCs w:val="20"/>
              </w:rPr>
              <w:t>spp</w:t>
            </w:r>
            <w:proofErr w:type="spellEnd"/>
            <w:r w:rsidRPr="00062AD5">
              <w:rPr>
                <w:sz w:val="20"/>
                <w:szCs w:val="20"/>
              </w:rPr>
              <w:t xml:space="preserve">, </w:t>
            </w:r>
            <w:proofErr w:type="spellStart"/>
            <w:r w:rsidRPr="00062AD5">
              <w:rPr>
                <w:i/>
                <w:sz w:val="20"/>
                <w:szCs w:val="20"/>
              </w:rPr>
              <w:t>Aggregatibacter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</w:t>
            </w:r>
            <w:r w:rsidRPr="00062AD5">
              <w:rPr>
                <w:sz w:val="20"/>
                <w:szCs w:val="20"/>
              </w:rPr>
              <w:t xml:space="preserve">(formally </w:t>
            </w:r>
            <w:proofErr w:type="spellStart"/>
            <w:r w:rsidRPr="00062AD5">
              <w:rPr>
                <w:i/>
                <w:sz w:val="20"/>
                <w:szCs w:val="20"/>
              </w:rPr>
              <w:t>Actinobacillus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actinomycete </w:t>
            </w:r>
            <w:proofErr w:type="spellStart"/>
            <w:r w:rsidRPr="00062AD5">
              <w:rPr>
                <w:i/>
                <w:sz w:val="20"/>
                <w:szCs w:val="20"/>
              </w:rPr>
              <w:t>comitants</w:t>
            </w:r>
            <w:proofErr w:type="spellEnd"/>
            <w:r w:rsidRPr="00062AD5">
              <w:rPr>
                <w:sz w:val="20"/>
                <w:szCs w:val="20"/>
              </w:rPr>
              <w:t xml:space="preserve">), </w:t>
            </w:r>
            <w:proofErr w:type="spellStart"/>
            <w:r w:rsidRPr="00062AD5">
              <w:rPr>
                <w:i/>
                <w:sz w:val="20"/>
                <w:szCs w:val="20"/>
              </w:rPr>
              <w:t>Cardiobacterium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hominis</w:t>
            </w:r>
            <w:r w:rsidRPr="00062AD5">
              <w:rPr>
                <w:sz w:val="20"/>
                <w:szCs w:val="20"/>
              </w:rPr>
              <w:t xml:space="preserve">, </w:t>
            </w:r>
            <w:proofErr w:type="spellStart"/>
            <w:r w:rsidRPr="00062AD5">
              <w:rPr>
                <w:i/>
                <w:sz w:val="20"/>
                <w:szCs w:val="20"/>
              </w:rPr>
              <w:t>Eikenella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AD5">
              <w:rPr>
                <w:sz w:val="20"/>
                <w:szCs w:val="20"/>
              </w:rPr>
              <w:t>spp</w:t>
            </w:r>
            <w:proofErr w:type="spellEnd"/>
            <w:r w:rsidRPr="00062AD5">
              <w:rPr>
                <w:sz w:val="20"/>
                <w:szCs w:val="20"/>
              </w:rPr>
              <w:t xml:space="preserve">, and </w:t>
            </w:r>
            <w:proofErr w:type="spellStart"/>
            <w:r w:rsidRPr="00062AD5">
              <w:rPr>
                <w:i/>
                <w:sz w:val="20"/>
                <w:szCs w:val="20"/>
              </w:rPr>
              <w:t>Kingella</w:t>
            </w:r>
            <w:proofErr w:type="spellEnd"/>
            <w:r w:rsidRPr="00062AD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AD5">
              <w:rPr>
                <w:i/>
                <w:sz w:val="20"/>
                <w:szCs w:val="20"/>
              </w:rPr>
              <w:t>kingae</w:t>
            </w:r>
            <w:proofErr w:type="spellEnd"/>
          </w:p>
        </w:tc>
      </w:tr>
      <w:tr w:rsidR="00DC716C" w:rsidRPr="00DC0C87" w14:paraId="74DE63C8" w14:textId="77777777" w:rsidTr="00062AD5">
        <w:tc>
          <w:tcPr>
            <w:tcW w:w="10795" w:type="dxa"/>
            <w:shd w:val="clear" w:color="auto" w:fill="auto"/>
          </w:tcPr>
          <w:p w14:paraId="235DDF3F" w14:textId="77777777" w:rsidR="00DC716C" w:rsidRPr="00062AD5" w:rsidRDefault="00DC716C" w:rsidP="00062AD5">
            <w:pPr>
              <w:pStyle w:val="MediumGrid21"/>
              <w:ind w:left="1440"/>
              <w:rPr>
                <w:i/>
                <w:sz w:val="20"/>
                <w:szCs w:val="20"/>
              </w:rPr>
            </w:pPr>
            <w:r w:rsidRPr="00062AD5">
              <w:rPr>
                <w:i/>
                <w:sz w:val="20"/>
                <w:szCs w:val="20"/>
              </w:rPr>
              <w:t>Staphylococcus aureus</w:t>
            </w:r>
          </w:p>
        </w:tc>
      </w:tr>
      <w:tr w:rsidR="00DC716C" w:rsidRPr="00DC0C87" w14:paraId="411E7892" w14:textId="77777777" w:rsidTr="00062AD5">
        <w:tc>
          <w:tcPr>
            <w:tcW w:w="10795" w:type="dxa"/>
            <w:shd w:val="clear" w:color="auto" w:fill="auto"/>
          </w:tcPr>
          <w:p w14:paraId="2EE1DE6B" w14:textId="77777777" w:rsidR="00DC716C" w:rsidRPr="00062AD5" w:rsidRDefault="00DC716C" w:rsidP="00062AD5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Community-acquired enterococci, in the absence of a primary focus;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5DCDEF68" w14:textId="77777777" w:rsidTr="00062AD5">
        <w:tc>
          <w:tcPr>
            <w:tcW w:w="10795" w:type="dxa"/>
            <w:shd w:val="clear" w:color="auto" w:fill="auto"/>
          </w:tcPr>
          <w:p w14:paraId="5EB0B955" w14:textId="77777777" w:rsidR="00DC716C" w:rsidRPr="00062AD5" w:rsidRDefault="00DC716C" w:rsidP="00062AD5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Persistently positive blood culture, defined as recovery of a microorganism consistent with IE from:</w:t>
            </w:r>
          </w:p>
        </w:tc>
      </w:tr>
      <w:tr w:rsidR="00DC716C" w:rsidRPr="00DC0C87" w14:paraId="53936B0F" w14:textId="77777777" w:rsidTr="00062AD5">
        <w:tc>
          <w:tcPr>
            <w:tcW w:w="10795" w:type="dxa"/>
            <w:shd w:val="clear" w:color="auto" w:fill="auto"/>
          </w:tcPr>
          <w:p w14:paraId="1306A5B3" w14:textId="77777777" w:rsidR="00DC716C" w:rsidRPr="00062AD5" w:rsidRDefault="00DC716C" w:rsidP="00062AD5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Blood cultures drawn more than 12 hours apart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4320A12D" w14:textId="77777777" w:rsidTr="00062AD5">
        <w:tc>
          <w:tcPr>
            <w:tcW w:w="10795" w:type="dxa"/>
            <w:shd w:val="clear" w:color="auto" w:fill="auto"/>
          </w:tcPr>
          <w:p w14:paraId="6BB5AFDE" w14:textId="77777777" w:rsidR="00DC716C" w:rsidRPr="00062AD5" w:rsidRDefault="00DC716C" w:rsidP="00062AD5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All of three or a majority of four or more separate blood cultures, with first and last drawn at least one hour apart</w:t>
            </w:r>
          </w:p>
        </w:tc>
      </w:tr>
      <w:tr w:rsidR="00DC716C" w:rsidRPr="00DC0C87" w14:paraId="3EF6034F" w14:textId="77777777" w:rsidTr="00062AD5">
        <w:tc>
          <w:tcPr>
            <w:tcW w:w="10795" w:type="dxa"/>
            <w:shd w:val="clear" w:color="auto" w:fill="auto"/>
          </w:tcPr>
          <w:p w14:paraId="1D683EE8" w14:textId="77777777" w:rsidR="00DC716C" w:rsidRPr="00062AD5" w:rsidRDefault="00DC716C" w:rsidP="00062AD5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 xml:space="preserve">Single positive blood culture for </w:t>
            </w:r>
            <w:r w:rsidRPr="00062AD5">
              <w:rPr>
                <w:b/>
                <w:i/>
                <w:sz w:val="20"/>
                <w:szCs w:val="20"/>
              </w:rPr>
              <w:t xml:space="preserve">Coxiella </w:t>
            </w:r>
            <w:proofErr w:type="spellStart"/>
            <w:r w:rsidRPr="00062AD5">
              <w:rPr>
                <w:b/>
                <w:i/>
                <w:sz w:val="20"/>
                <w:szCs w:val="20"/>
              </w:rPr>
              <w:t>burnetii</w:t>
            </w:r>
            <w:proofErr w:type="spellEnd"/>
            <w:r w:rsidRPr="00062AD5">
              <w:rPr>
                <w:b/>
                <w:sz w:val="20"/>
                <w:szCs w:val="20"/>
              </w:rPr>
              <w:t xml:space="preserve"> or antiphase I IgG antibody titer &gt;1:800</w:t>
            </w:r>
          </w:p>
        </w:tc>
      </w:tr>
      <w:tr w:rsidR="00DC716C" w:rsidRPr="00DC0C87" w14:paraId="78CE06FB" w14:textId="77777777" w:rsidTr="00062AD5">
        <w:tc>
          <w:tcPr>
            <w:tcW w:w="10795" w:type="dxa"/>
            <w:shd w:val="clear" w:color="auto" w:fill="auto"/>
          </w:tcPr>
          <w:p w14:paraId="09B1C140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Evidence of endocardial involvement</w:t>
            </w:r>
          </w:p>
        </w:tc>
      </w:tr>
      <w:tr w:rsidR="00DC716C" w:rsidRPr="00DC0C87" w14:paraId="0DAC576B" w14:textId="77777777" w:rsidTr="00062AD5">
        <w:tc>
          <w:tcPr>
            <w:tcW w:w="10795" w:type="dxa"/>
            <w:shd w:val="clear" w:color="auto" w:fill="auto"/>
          </w:tcPr>
          <w:p w14:paraId="3457ECB7" w14:textId="77777777" w:rsidR="00DC716C" w:rsidRPr="00062AD5" w:rsidRDefault="00DC716C" w:rsidP="00062AD5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Positive echocardiogram for IE</w:t>
            </w:r>
          </w:p>
        </w:tc>
      </w:tr>
      <w:tr w:rsidR="00DC716C" w:rsidRPr="00DC0C87" w14:paraId="79FE3128" w14:textId="77777777" w:rsidTr="00062AD5">
        <w:tc>
          <w:tcPr>
            <w:tcW w:w="10795" w:type="dxa"/>
            <w:shd w:val="clear" w:color="auto" w:fill="auto"/>
          </w:tcPr>
          <w:p w14:paraId="5117C302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lastRenderedPageBreak/>
              <w:t>TEE recommended in patients with prosthetic valves, rated at least “possible IE” by clinical criteria, or complicated IE (paravalvular abscess)</w:t>
            </w:r>
          </w:p>
        </w:tc>
      </w:tr>
      <w:tr w:rsidR="00DC716C" w:rsidRPr="00DC0C87" w14:paraId="50A720BE" w14:textId="77777777" w:rsidTr="00062AD5">
        <w:tc>
          <w:tcPr>
            <w:tcW w:w="10795" w:type="dxa"/>
            <w:shd w:val="clear" w:color="auto" w:fill="auto"/>
          </w:tcPr>
          <w:p w14:paraId="3069BA27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Definition on positive echocardiogram</w:t>
            </w:r>
          </w:p>
        </w:tc>
      </w:tr>
      <w:tr w:rsidR="00DC716C" w:rsidRPr="00DC0C87" w14:paraId="21725BC1" w14:textId="77777777" w:rsidTr="00062AD5">
        <w:tc>
          <w:tcPr>
            <w:tcW w:w="10795" w:type="dxa"/>
            <w:shd w:val="clear" w:color="auto" w:fill="auto"/>
          </w:tcPr>
          <w:p w14:paraId="4412DA6B" w14:textId="77777777" w:rsidR="00DC716C" w:rsidRPr="00062AD5" w:rsidRDefault="00DC716C" w:rsidP="00062AD5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Oscillating intracardiac mass on valve or supporting structures, in the path of regurgitant jets, or an implanted material in the absence of an alternative anatomic explanation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17A580D6" w14:textId="77777777" w:rsidTr="00062AD5">
        <w:tc>
          <w:tcPr>
            <w:tcW w:w="10795" w:type="dxa"/>
            <w:shd w:val="clear" w:color="auto" w:fill="auto"/>
          </w:tcPr>
          <w:p w14:paraId="033283AA" w14:textId="77777777" w:rsidR="00DC716C" w:rsidRPr="00062AD5" w:rsidRDefault="00DC716C" w:rsidP="00062AD5">
            <w:pPr>
              <w:pStyle w:val="MediumGrid21"/>
              <w:ind w:left="1440"/>
              <w:rPr>
                <w:b/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Abscess </w:t>
            </w:r>
            <w:r w:rsidRPr="00062AD5">
              <w:rPr>
                <w:b/>
                <w:sz w:val="20"/>
                <w:szCs w:val="20"/>
              </w:rPr>
              <w:t>OR</w:t>
            </w:r>
          </w:p>
        </w:tc>
      </w:tr>
      <w:tr w:rsidR="00DC716C" w:rsidRPr="00DC0C87" w14:paraId="2198F88F" w14:textId="77777777" w:rsidTr="00062AD5">
        <w:tc>
          <w:tcPr>
            <w:tcW w:w="10795" w:type="dxa"/>
            <w:shd w:val="clear" w:color="auto" w:fill="auto"/>
          </w:tcPr>
          <w:p w14:paraId="4BE7FF8D" w14:textId="77777777" w:rsidR="00DC716C" w:rsidRPr="00062AD5" w:rsidRDefault="00DC716C" w:rsidP="00062AD5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New partial dehiscence of prosthetic valve</w:t>
            </w:r>
          </w:p>
        </w:tc>
      </w:tr>
      <w:tr w:rsidR="00DC716C" w:rsidRPr="00DC0C87" w14:paraId="4DC3952C" w14:textId="77777777" w:rsidTr="00062AD5">
        <w:tc>
          <w:tcPr>
            <w:tcW w:w="10795" w:type="dxa"/>
            <w:shd w:val="clear" w:color="auto" w:fill="auto"/>
          </w:tcPr>
          <w:p w14:paraId="25B1F823" w14:textId="77777777" w:rsidR="00DC716C" w:rsidRPr="00062AD5" w:rsidRDefault="00DC716C" w:rsidP="00062AD5">
            <w:pPr>
              <w:pStyle w:val="MediumGrid21"/>
              <w:ind w:left="720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New valvular regurgitation</w:t>
            </w:r>
          </w:p>
        </w:tc>
      </w:tr>
      <w:tr w:rsidR="00DC716C" w:rsidRPr="00DC0C87" w14:paraId="502D8E4B" w14:textId="77777777" w:rsidTr="00062AD5">
        <w:tc>
          <w:tcPr>
            <w:tcW w:w="10795" w:type="dxa"/>
            <w:shd w:val="clear" w:color="auto" w:fill="auto"/>
          </w:tcPr>
          <w:p w14:paraId="68E352F0" w14:textId="77777777" w:rsidR="00DC716C" w:rsidRPr="00062AD5" w:rsidRDefault="00DC716C" w:rsidP="00062AD5">
            <w:pPr>
              <w:pStyle w:val="MediumGrid21"/>
              <w:ind w:left="144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Increase in or change in preexisting murmur not sufficient</w:t>
            </w:r>
          </w:p>
        </w:tc>
      </w:tr>
      <w:tr w:rsidR="00DC716C" w:rsidRPr="00DC0C87" w14:paraId="35F49DF3" w14:textId="77777777" w:rsidTr="00062AD5">
        <w:tc>
          <w:tcPr>
            <w:tcW w:w="10795" w:type="dxa"/>
            <w:shd w:val="clear" w:color="auto" w:fill="BFBFBF"/>
          </w:tcPr>
          <w:p w14:paraId="50C97E73" w14:textId="77777777" w:rsidR="00DC716C" w:rsidRPr="00062AD5" w:rsidRDefault="00DC716C" w:rsidP="00062AD5">
            <w:pPr>
              <w:pStyle w:val="MediumGrid21"/>
              <w:rPr>
                <w:b/>
                <w:sz w:val="20"/>
                <w:szCs w:val="20"/>
              </w:rPr>
            </w:pPr>
            <w:r w:rsidRPr="00062AD5">
              <w:rPr>
                <w:b/>
                <w:sz w:val="20"/>
                <w:szCs w:val="20"/>
              </w:rPr>
              <w:t>Minor criteria</w:t>
            </w:r>
          </w:p>
        </w:tc>
      </w:tr>
      <w:tr w:rsidR="00DC716C" w:rsidRPr="00DC0C87" w14:paraId="007E52D2" w14:textId="77777777" w:rsidTr="00062AD5">
        <w:tc>
          <w:tcPr>
            <w:tcW w:w="10795" w:type="dxa"/>
            <w:shd w:val="clear" w:color="auto" w:fill="auto"/>
          </w:tcPr>
          <w:p w14:paraId="4F9FDD0C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Predisposition: predisposing heart condition or intravenous drug use</w:t>
            </w:r>
          </w:p>
        </w:tc>
      </w:tr>
      <w:tr w:rsidR="00DC716C" w:rsidRPr="00DC0C87" w14:paraId="0D873DB0" w14:textId="77777777" w:rsidTr="00062AD5">
        <w:tc>
          <w:tcPr>
            <w:tcW w:w="10795" w:type="dxa"/>
            <w:shd w:val="clear" w:color="auto" w:fill="auto"/>
          </w:tcPr>
          <w:p w14:paraId="28226427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Fever: 38.0</w:t>
            </w:r>
            <w:r w:rsidRPr="00062AD5">
              <w:rPr>
                <w:rFonts w:cs="Calibri"/>
                <w:sz w:val="20"/>
                <w:szCs w:val="20"/>
              </w:rPr>
              <w:t>°</w:t>
            </w:r>
            <w:r w:rsidRPr="00062AD5">
              <w:rPr>
                <w:sz w:val="20"/>
                <w:szCs w:val="20"/>
              </w:rPr>
              <w:t>C (100.4</w:t>
            </w:r>
            <w:r w:rsidRPr="00062AD5">
              <w:rPr>
                <w:rFonts w:cs="Calibri"/>
                <w:sz w:val="20"/>
                <w:szCs w:val="20"/>
              </w:rPr>
              <w:t>°</w:t>
            </w:r>
            <w:r w:rsidRPr="00062AD5">
              <w:rPr>
                <w:sz w:val="20"/>
                <w:szCs w:val="20"/>
              </w:rPr>
              <w:t>F)</w:t>
            </w:r>
          </w:p>
        </w:tc>
      </w:tr>
      <w:tr w:rsidR="00DC716C" w:rsidRPr="00DC0C87" w14:paraId="155A765A" w14:textId="77777777" w:rsidTr="00062AD5">
        <w:tc>
          <w:tcPr>
            <w:tcW w:w="10795" w:type="dxa"/>
            <w:shd w:val="clear" w:color="auto" w:fill="auto"/>
          </w:tcPr>
          <w:p w14:paraId="26C0F638" w14:textId="77777777" w:rsidR="00DC716C" w:rsidRPr="00062AD5" w:rsidRDefault="00DC716C" w:rsidP="00062AD5">
            <w:pPr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Vascular phenomena: major arterial emboli, septic pulmonary infarcts, mycotic aneurysm, intracranial hemorrhage, conjunctival hemorrhages, and Janeway lesions</w:t>
            </w:r>
          </w:p>
        </w:tc>
      </w:tr>
      <w:tr w:rsidR="00DC716C" w:rsidRPr="00DC0C87" w14:paraId="354BFBDC" w14:textId="77777777" w:rsidTr="00062AD5">
        <w:tc>
          <w:tcPr>
            <w:tcW w:w="10795" w:type="dxa"/>
            <w:shd w:val="clear" w:color="auto" w:fill="auto"/>
          </w:tcPr>
          <w:p w14:paraId="4B2CB881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Immunological phenomena: glomerulonephritis, Osler nodes, Roth spots, and rheumatoid factor</w:t>
            </w:r>
          </w:p>
        </w:tc>
      </w:tr>
      <w:tr w:rsidR="00DC716C" w:rsidRPr="00DC0C87" w14:paraId="610B176A" w14:textId="77777777" w:rsidTr="00062AD5">
        <w:tc>
          <w:tcPr>
            <w:tcW w:w="10795" w:type="dxa"/>
            <w:shd w:val="clear" w:color="auto" w:fill="auto"/>
          </w:tcPr>
          <w:p w14:paraId="243E8414" w14:textId="77777777" w:rsidR="00DC716C" w:rsidRPr="00062AD5" w:rsidRDefault="00DC716C" w:rsidP="00062AD5">
            <w:pPr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 xml:space="preserve">Microbiological evidence: positive blood culture but does not meet a major criterion as noted above (excludes single positive cultures for coagulase-negative staphylococci and organisms that do not cause endocarditis) </w:t>
            </w:r>
            <w:r w:rsidRPr="00062AD5">
              <w:rPr>
                <w:b/>
                <w:sz w:val="20"/>
                <w:szCs w:val="20"/>
              </w:rPr>
              <w:t>OR</w:t>
            </w:r>
            <w:r w:rsidRPr="00062AD5">
              <w:rPr>
                <w:sz w:val="20"/>
                <w:szCs w:val="20"/>
              </w:rPr>
              <w:t xml:space="preserve"> serological evidence of active infection with organism consistent with IE</w:t>
            </w:r>
          </w:p>
        </w:tc>
      </w:tr>
      <w:tr w:rsidR="00DC716C" w:rsidRPr="00DC0C87" w14:paraId="0FE3A044" w14:textId="77777777" w:rsidTr="00062AD5">
        <w:tc>
          <w:tcPr>
            <w:tcW w:w="10795" w:type="dxa"/>
            <w:shd w:val="clear" w:color="auto" w:fill="auto"/>
          </w:tcPr>
          <w:p w14:paraId="77A75F0E" w14:textId="77777777" w:rsidR="00DC716C" w:rsidRPr="00062AD5" w:rsidRDefault="00DC716C" w:rsidP="00062AD5">
            <w:pPr>
              <w:pStyle w:val="MediumGrid21"/>
              <w:ind w:left="720"/>
              <w:rPr>
                <w:sz w:val="20"/>
                <w:szCs w:val="20"/>
              </w:rPr>
            </w:pPr>
            <w:r w:rsidRPr="00062AD5">
              <w:rPr>
                <w:sz w:val="20"/>
                <w:szCs w:val="20"/>
              </w:rPr>
              <w:t>Echocardiographic minor criteria eliminated</w:t>
            </w:r>
          </w:p>
        </w:tc>
      </w:tr>
    </w:tbl>
    <w:p w14:paraId="44FB30F8" w14:textId="77777777" w:rsidR="00DC716C" w:rsidRDefault="00DC716C" w:rsidP="00DC716C"/>
    <w:sectPr w:rsidR="00DC716C" w:rsidSect="00E051EB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239A" w14:textId="77777777" w:rsidR="00B00D36" w:rsidRDefault="00B00D36" w:rsidP="007777B5">
      <w:pPr>
        <w:spacing w:after="0" w:line="240" w:lineRule="auto"/>
      </w:pPr>
      <w:r>
        <w:separator/>
      </w:r>
    </w:p>
  </w:endnote>
  <w:endnote w:type="continuationSeparator" w:id="0">
    <w:p w14:paraId="08285403" w14:textId="77777777" w:rsidR="00B00D36" w:rsidRDefault="00B00D36" w:rsidP="007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BF20" w14:textId="77777777" w:rsidR="00B00D36" w:rsidRDefault="00B00D36" w:rsidP="007777B5">
      <w:pPr>
        <w:spacing w:after="0" w:line="240" w:lineRule="auto"/>
      </w:pPr>
      <w:r>
        <w:separator/>
      </w:r>
    </w:p>
  </w:footnote>
  <w:footnote w:type="continuationSeparator" w:id="0">
    <w:p w14:paraId="7F85B425" w14:textId="77777777" w:rsidR="00B00D36" w:rsidRDefault="00B00D36" w:rsidP="007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5B80" w14:textId="06D2BA3E" w:rsidR="007777B5" w:rsidRDefault="007777B5">
    <w:pPr>
      <w:pStyle w:val="Header"/>
    </w:pPr>
  </w:p>
  <w:p w14:paraId="5D3F9BC3" w14:textId="6C476D5E" w:rsidR="007777B5" w:rsidRDefault="007777B5">
    <w:pPr>
      <w:pStyle w:val="Header"/>
    </w:pPr>
  </w:p>
  <w:p w14:paraId="0B3B8DB6" w14:textId="77777777" w:rsidR="007777B5" w:rsidRDefault="00777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1CA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1076"/>
    <w:multiLevelType w:val="hybridMultilevel"/>
    <w:tmpl w:val="59186290"/>
    <w:lvl w:ilvl="0" w:tplc="B9B4B4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D89"/>
    <w:multiLevelType w:val="hybridMultilevel"/>
    <w:tmpl w:val="0A6290FA"/>
    <w:lvl w:ilvl="0" w:tplc="43B62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3C"/>
    <w:multiLevelType w:val="hybridMultilevel"/>
    <w:tmpl w:val="0626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3C17"/>
    <w:multiLevelType w:val="hybridMultilevel"/>
    <w:tmpl w:val="F3D6E8D8"/>
    <w:lvl w:ilvl="0" w:tplc="43B62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310"/>
    <w:multiLevelType w:val="hybridMultilevel"/>
    <w:tmpl w:val="BCE2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36B9"/>
    <w:multiLevelType w:val="hybridMultilevel"/>
    <w:tmpl w:val="EE4450A2"/>
    <w:lvl w:ilvl="0" w:tplc="CC9E43F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B53F4"/>
    <w:multiLevelType w:val="hybridMultilevel"/>
    <w:tmpl w:val="AB5EB6D8"/>
    <w:lvl w:ilvl="0" w:tplc="9A042C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11E8"/>
    <w:multiLevelType w:val="hybridMultilevel"/>
    <w:tmpl w:val="19926BD8"/>
    <w:lvl w:ilvl="0" w:tplc="A9522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5C1"/>
    <w:multiLevelType w:val="hybridMultilevel"/>
    <w:tmpl w:val="8E28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10264"/>
    <w:multiLevelType w:val="hybridMultilevel"/>
    <w:tmpl w:val="3FF4FFE0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B9D"/>
    <w:multiLevelType w:val="hybridMultilevel"/>
    <w:tmpl w:val="C944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7C23"/>
    <w:multiLevelType w:val="hybridMultilevel"/>
    <w:tmpl w:val="8206B53C"/>
    <w:lvl w:ilvl="0" w:tplc="D590A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2EC"/>
    <w:multiLevelType w:val="hybridMultilevel"/>
    <w:tmpl w:val="23D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4173"/>
    <w:multiLevelType w:val="hybridMultilevel"/>
    <w:tmpl w:val="FE4677E8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E52D0"/>
    <w:multiLevelType w:val="hybridMultilevel"/>
    <w:tmpl w:val="48042C56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E0228"/>
    <w:multiLevelType w:val="hybridMultilevel"/>
    <w:tmpl w:val="B9CA1D1E"/>
    <w:lvl w:ilvl="0" w:tplc="49386174">
      <w:start w:val="1"/>
      <w:numFmt w:val="decimal"/>
      <w:lvlText w:val="%1."/>
      <w:lvlJc w:val="left"/>
      <w:pPr>
        <w:ind w:left="720" w:hanging="360"/>
      </w:pPr>
    </w:lvl>
    <w:lvl w:ilvl="1" w:tplc="0CC2D8B4">
      <w:start w:val="1"/>
      <w:numFmt w:val="lowerLetter"/>
      <w:lvlText w:val="%2."/>
      <w:lvlJc w:val="left"/>
      <w:pPr>
        <w:ind w:left="1440" w:hanging="360"/>
      </w:pPr>
    </w:lvl>
    <w:lvl w:ilvl="2" w:tplc="12522632">
      <w:start w:val="1"/>
      <w:numFmt w:val="lowerRoman"/>
      <w:lvlText w:val="%3."/>
      <w:lvlJc w:val="right"/>
      <w:pPr>
        <w:ind w:left="2160" w:hanging="180"/>
      </w:pPr>
    </w:lvl>
    <w:lvl w:ilvl="3" w:tplc="9C7A89B6">
      <w:start w:val="1"/>
      <w:numFmt w:val="decimal"/>
      <w:lvlText w:val="%4."/>
      <w:lvlJc w:val="left"/>
      <w:pPr>
        <w:ind w:left="2880" w:hanging="360"/>
      </w:pPr>
    </w:lvl>
    <w:lvl w:ilvl="4" w:tplc="84B826C6">
      <w:start w:val="1"/>
      <w:numFmt w:val="lowerLetter"/>
      <w:lvlText w:val="%5."/>
      <w:lvlJc w:val="left"/>
      <w:pPr>
        <w:ind w:left="3600" w:hanging="360"/>
      </w:pPr>
    </w:lvl>
    <w:lvl w:ilvl="5" w:tplc="D6F889EC">
      <w:start w:val="1"/>
      <w:numFmt w:val="lowerRoman"/>
      <w:lvlText w:val="%6."/>
      <w:lvlJc w:val="right"/>
      <w:pPr>
        <w:ind w:left="4320" w:hanging="180"/>
      </w:pPr>
    </w:lvl>
    <w:lvl w:ilvl="6" w:tplc="C85CFC48">
      <w:start w:val="1"/>
      <w:numFmt w:val="decimal"/>
      <w:lvlText w:val="%7."/>
      <w:lvlJc w:val="left"/>
      <w:pPr>
        <w:ind w:left="5040" w:hanging="360"/>
      </w:pPr>
    </w:lvl>
    <w:lvl w:ilvl="7" w:tplc="F594EE98">
      <w:start w:val="1"/>
      <w:numFmt w:val="lowerLetter"/>
      <w:lvlText w:val="%8."/>
      <w:lvlJc w:val="left"/>
      <w:pPr>
        <w:ind w:left="5760" w:hanging="360"/>
      </w:pPr>
    </w:lvl>
    <w:lvl w:ilvl="8" w:tplc="DC925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7C7B"/>
    <w:multiLevelType w:val="hybridMultilevel"/>
    <w:tmpl w:val="861684A6"/>
    <w:lvl w:ilvl="0" w:tplc="43B62B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2277"/>
    <w:multiLevelType w:val="hybridMultilevel"/>
    <w:tmpl w:val="1AE2D66A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667"/>
    <w:multiLevelType w:val="hybridMultilevel"/>
    <w:tmpl w:val="A5A6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43461"/>
    <w:multiLevelType w:val="hybridMultilevel"/>
    <w:tmpl w:val="FD508844"/>
    <w:lvl w:ilvl="0" w:tplc="894A5E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A17"/>
    <w:multiLevelType w:val="hybridMultilevel"/>
    <w:tmpl w:val="2A0ED33E"/>
    <w:lvl w:ilvl="0" w:tplc="6AD047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C1A"/>
    <w:multiLevelType w:val="hybridMultilevel"/>
    <w:tmpl w:val="50C8A040"/>
    <w:lvl w:ilvl="0" w:tplc="70F290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06C9B"/>
    <w:multiLevelType w:val="hybridMultilevel"/>
    <w:tmpl w:val="DEF62E40"/>
    <w:lvl w:ilvl="0" w:tplc="43B62B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B0E43"/>
    <w:multiLevelType w:val="hybridMultilevel"/>
    <w:tmpl w:val="9E0813F4"/>
    <w:lvl w:ilvl="0" w:tplc="88E8A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4324"/>
    <w:multiLevelType w:val="hybridMultilevel"/>
    <w:tmpl w:val="F2543096"/>
    <w:lvl w:ilvl="0" w:tplc="43B62B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842E5"/>
    <w:multiLevelType w:val="hybridMultilevel"/>
    <w:tmpl w:val="2884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1ED5"/>
    <w:multiLevelType w:val="hybridMultilevel"/>
    <w:tmpl w:val="148EF03A"/>
    <w:lvl w:ilvl="0" w:tplc="BBF431F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288E"/>
    <w:multiLevelType w:val="multilevel"/>
    <w:tmpl w:val="17E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0379F4"/>
    <w:multiLevelType w:val="hybridMultilevel"/>
    <w:tmpl w:val="9C6EA758"/>
    <w:lvl w:ilvl="0" w:tplc="C83083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F59B5"/>
    <w:multiLevelType w:val="hybridMultilevel"/>
    <w:tmpl w:val="D2A6E120"/>
    <w:lvl w:ilvl="0" w:tplc="BB227A2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45BBA"/>
    <w:multiLevelType w:val="hybridMultilevel"/>
    <w:tmpl w:val="22A43DB8"/>
    <w:lvl w:ilvl="0" w:tplc="0362FF84">
      <w:start w:val="3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2286B"/>
    <w:multiLevelType w:val="hybridMultilevel"/>
    <w:tmpl w:val="5DF04062"/>
    <w:lvl w:ilvl="0" w:tplc="43B62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F165A"/>
    <w:multiLevelType w:val="hybridMultilevel"/>
    <w:tmpl w:val="E0FCCFA6"/>
    <w:lvl w:ilvl="0" w:tplc="7F3E026A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26668A"/>
    <w:multiLevelType w:val="hybridMultilevel"/>
    <w:tmpl w:val="142C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06454"/>
    <w:multiLevelType w:val="hybridMultilevel"/>
    <w:tmpl w:val="643EF9B4"/>
    <w:lvl w:ilvl="0" w:tplc="C128B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3753"/>
    <w:multiLevelType w:val="hybridMultilevel"/>
    <w:tmpl w:val="439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871">
    <w:abstractNumId w:val="16"/>
  </w:num>
  <w:num w:numId="2" w16cid:durableId="1995135313">
    <w:abstractNumId w:val="13"/>
  </w:num>
  <w:num w:numId="3" w16cid:durableId="1908104579">
    <w:abstractNumId w:val="9"/>
  </w:num>
  <w:num w:numId="4" w16cid:durableId="1140341655">
    <w:abstractNumId w:val="22"/>
  </w:num>
  <w:num w:numId="5" w16cid:durableId="2000302621">
    <w:abstractNumId w:val="5"/>
  </w:num>
  <w:num w:numId="6" w16cid:durableId="2096126812">
    <w:abstractNumId w:val="35"/>
  </w:num>
  <w:num w:numId="7" w16cid:durableId="592205732">
    <w:abstractNumId w:val="7"/>
  </w:num>
  <w:num w:numId="8" w16cid:durableId="1144086871">
    <w:abstractNumId w:val="12"/>
  </w:num>
  <w:num w:numId="9" w16cid:durableId="1919055135">
    <w:abstractNumId w:val="8"/>
  </w:num>
  <w:num w:numId="10" w16cid:durableId="656808104">
    <w:abstractNumId w:val="23"/>
  </w:num>
  <w:num w:numId="11" w16cid:durableId="1571888764">
    <w:abstractNumId w:val="11"/>
  </w:num>
  <w:num w:numId="12" w16cid:durableId="714424733">
    <w:abstractNumId w:val="34"/>
  </w:num>
  <w:num w:numId="13" w16cid:durableId="1478643247">
    <w:abstractNumId w:val="17"/>
  </w:num>
  <w:num w:numId="14" w16cid:durableId="1643074123">
    <w:abstractNumId w:val="31"/>
  </w:num>
  <w:num w:numId="15" w16cid:durableId="747653859">
    <w:abstractNumId w:val="4"/>
  </w:num>
  <w:num w:numId="16" w16cid:durableId="1728798711">
    <w:abstractNumId w:val="2"/>
  </w:num>
  <w:num w:numId="17" w16cid:durableId="1430009894">
    <w:abstractNumId w:val="10"/>
  </w:num>
  <w:num w:numId="18" w16cid:durableId="267466721">
    <w:abstractNumId w:val="32"/>
  </w:num>
  <w:num w:numId="19" w16cid:durableId="808665771">
    <w:abstractNumId w:val="15"/>
  </w:num>
  <w:num w:numId="20" w16cid:durableId="746535244">
    <w:abstractNumId w:val="14"/>
  </w:num>
  <w:num w:numId="21" w16cid:durableId="1640459647">
    <w:abstractNumId w:val="18"/>
  </w:num>
  <w:num w:numId="22" w16cid:durableId="2019189472">
    <w:abstractNumId w:val="25"/>
  </w:num>
  <w:num w:numId="23" w16cid:durableId="1921135434">
    <w:abstractNumId w:val="26"/>
  </w:num>
  <w:num w:numId="24" w16cid:durableId="1776485402">
    <w:abstractNumId w:val="3"/>
  </w:num>
  <w:num w:numId="25" w16cid:durableId="1806581928">
    <w:abstractNumId w:val="6"/>
  </w:num>
  <w:num w:numId="26" w16cid:durableId="2108843393">
    <w:abstractNumId w:val="30"/>
  </w:num>
  <w:num w:numId="27" w16cid:durableId="730806937">
    <w:abstractNumId w:val="24"/>
  </w:num>
  <w:num w:numId="28" w16cid:durableId="1192449896">
    <w:abstractNumId w:val="21"/>
  </w:num>
  <w:num w:numId="29" w16cid:durableId="1163933500">
    <w:abstractNumId w:val="27"/>
  </w:num>
  <w:num w:numId="30" w16cid:durableId="524295891">
    <w:abstractNumId w:val="29"/>
  </w:num>
  <w:num w:numId="31" w16cid:durableId="1175221568">
    <w:abstractNumId w:val="33"/>
  </w:num>
  <w:num w:numId="32" w16cid:durableId="1674533726">
    <w:abstractNumId w:val="0"/>
  </w:num>
  <w:num w:numId="33" w16cid:durableId="2057026">
    <w:abstractNumId w:val="20"/>
  </w:num>
  <w:num w:numId="34" w16cid:durableId="982276111">
    <w:abstractNumId w:val="36"/>
  </w:num>
  <w:num w:numId="35" w16cid:durableId="1065882276">
    <w:abstractNumId w:val="1"/>
  </w:num>
  <w:num w:numId="36" w16cid:durableId="2062047569">
    <w:abstractNumId w:val="19"/>
  </w:num>
  <w:num w:numId="37" w16cid:durableId="17817289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D"/>
    <w:rsid w:val="0002670C"/>
    <w:rsid w:val="000400D5"/>
    <w:rsid w:val="00045E94"/>
    <w:rsid w:val="000470D3"/>
    <w:rsid w:val="0004CA5E"/>
    <w:rsid w:val="00062AD5"/>
    <w:rsid w:val="00064EA2"/>
    <w:rsid w:val="000702F4"/>
    <w:rsid w:val="00084300"/>
    <w:rsid w:val="00092179"/>
    <w:rsid w:val="000929ED"/>
    <w:rsid w:val="000A3C10"/>
    <w:rsid w:val="000B6054"/>
    <w:rsid w:val="000F7ADA"/>
    <w:rsid w:val="00100087"/>
    <w:rsid w:val="00114D46"/>
    <w:rsid w:val="00144D28"/>
    <w:rsid w:val="0015722A"/>
    <w:rsid w:val="001B1225"/>
    <w:rsid w:val="001B4076"/>
    <w:rsid w:val="001C1498"/>
    <w:rsid w:val="001E0AE7"/>
    <w:rsid w:val="00216F59"/>
    <w:rsid w:val="0022440A"/>
    <w:rsid w:val="00227D04"/>
    <w:rsid w:val="002304ED"/>
    <w:rsid w:val="00234590"/>
    <w:rsid w:val="00236DDA"/>
    <w:rsid w:val="002645CA"/>
    <w:rsid w:val="00273F5A"/>
    <w:rsid w:val="00274758"/>
    <w:rsid w:val="002A2C64"/>
    <w:rsid w:val="002C7F29"/>
    <w:rsid w:val="002E238E"/>
    <w:rsid w:val="002F3D0D"/>
    <w:rsid w:val="00312373"/>
    <w:rsid w:val="00313554"/>
    <w:rsid w:val="0031E049"/>
    <w:rsid w:val="003377FA"/>
    <w:rsid w:val="0034783A"/>
    <w:rsid w:val="00352137"/>
    <w:rsid w:val="00366E0C"/>
    <w:rsid w:val="0036782C"/>
    <w:rsid w:val="0039529E"/>
    <w:rsid w:val="003970C8"/>
    <w:rsid w:val="003A54F3"/>
    <w:rsid w:val="003B0326"/>
    <w:rsid w:val="003B7A57"/>
    <w:rsid w:val="003F0A8B"/>
    <w:rsid w:val="003F1FD2"/>
    <w:rsid w:val="004061EA"/>
    <w:rsid w:val="004331FA"/>
    <w:rsid w:val="00443A5F"/>
    <w:rsid w:val="00476F95"/>
    <w:rsid w:val="004820A4"/>
    <w:rsid w:val="00493B74"/>
    <w:rsid w:val="004A382E"/>
    <w:rsid w:val="004A5EA0"/>
    <w:rsid w:val="004A64E0"/>
    <w:rsid w:val="004B6483"/>
    <w:rsid w:val="004C1D18"/>
    <w:rsid w:val="004F2B64"/>
    <w:rsid w:val="004F3E93"/>
    <w:rsid w:val="004F6763"/>
    <w:rsid w:val="00506992"/>
    <w:rsid w:val="00510C7C"/>
    <w:rsid w:val="0052458A"/>
    <w:rsid w:val="00543667"/>
    <w:rsid w:val="00591842"/>
    <w:rsid w:val="00597EDA"/>
    <w:rsid w:val="005C3455"/>
    <w:rsid w:val="005D43E8"/>
    <w:rsid w:val="0060485D"/>
    <w:rsid w:val="006262B4"/>
    <w:rsid w:val="00642B46"/>
    <w:rsid w:val="00653886"/>
    <w:rsid w:val="006648B4"/>
    <w:rsid w:val="006667FF"/>
    <w:rsid w:val="00690422"/>
    <w:rsid w:val="00693722"/>
    <w:rsid w:val="006A0B2E"/>
    <w:rsid w:val="006B2AF0"/>
    <w:rsid w:val="006C749A"/>
    <w:rsid w:val="006E236D"/>
    <w:rsid w:val="006F61A8"/>
    <w:rsid w:val="0070165C"/>
    <w:rsid w:val="0073683C"/>
    <w:rsid w:val="00746000"/>
    <w:rsid w:val="00747B02"/>
    <w:rsid w:val="00750F9C"/>
    <w:rsid w:val="00757982"/>
    <w:rsid w:val="007622BE"/>
    <w:rsid w:val="00762E4C"/>
    <w:rsid w:val="00763328"/>
    <w:rsid w:val="0076649D"/>
    <w:rsid w:val="007777B5"/>
    <w:rsid w:val="0078625F"/>
    <w:rsid w:val="007868A3"/>
    <w:rsid w:val="007A0D3E"/>
    <w:rsid w:val="007B3E77"/>
    <w:rsid w:val="007B4A1F"/>
    <w:rsid w:val="007C0463"/>
    <w:rsid w:val="007C7FBF"/>
    <w:rsid w:val="007E5D0A"/>
    <w:rsid w:val="007F3679"/>
    <w:rsid w:val="00824CA8"/>
    <w:rsid w:val="008402C5"/>
    <w:rsid w:val="0084600E"/>
    <w:rsid w:val="008C0224"/>
    <w:rsid w:val="008F7EB6"/>
    <w:rsid w:val="009141BE"/>
    <w:rsid w:val="00914B48"/>
    <w:rsid w:val="00923D29"/>
    <w:rsid w:val="0092734B"/>
    <w:rsid w:val="00932AAD"/>
    <w:rsid w:val="009379D8"/>
    <w:rsid w:val="009512DD"/>
    <w:rsid w:val="0097303B"/>
    <w:rsid w:val="0098217E"/>
    <w:rsid w:val="0098372C"/>
    <w:rsid w:val="009A44A7"/>
    <w:rsid w:val="009B2C44"/>
    <w:rsid w:val="009D6BDF"/>
    <w:rsid w:val="00A11035"/>
    <w:rsid w:val="00A154A1"/>
    <w:rsid w:val="00A1DF4D"/>
    <w:rsid w:val="00A93FE5"/>
    <w:rsid w:val="00A962DE"/>
    <w:rsid w:val="00AA4CE5"/>
    <w:rsid w:val="00AB0389"/>
    <w:rsid w:val="00AD75D4"/>
    <w:rsid w:val="00B00D36"/>
    <w:rsid w:val="00B3258B"/>
    <w:rsid w:val="00B42AE1"/>
    <w:rsid w:val="00B5217E"/>
    <w:rsid w:val="00BB5E9A"/>
    <w:rsid w:val="00BF3F21"/>
    <w:rsid w:val="00C0329B"/>
    <w:rsid w:val="00C36A05"/>
    <w:rsid w:val="00C45761"/>
    <w:rsid w:val="00C77A14"/>
    <w:rsid w:val="00CA0D55"/>
    <w:rsid w:val="00CA749B"/>
    <w:rsid w:val="00CE5537"/>
    <w:rsid w:val="00D00AB0"/>
    <w:rsid w:val="00D02FE2"/>
    <w:rsid w:val="00D14F2F"/>
    <w:rsid w:val="00D8056C"/>
    <w:rsid w:val="00DC716C"/>
    <w:rsid w:val="00DD2042"/>
    <w:rsid w:val="00DE1776"/>
    <w:rsid w:val="00DF39AD"/>
    <w:rsid w:val="00E02353"/>
    <w:rsid w:val="00E051EB"/>
    <w:rsid w:val="00E40080"/>
    <w:rsid w:val="00E45640"/>
    <w:rsid w:val="00E71E69"/>
    <w:rsid w:val="00E815C3"/>
    <w:rsid w:val="00E941A7"/>
    <w:rsid w:val="00EF2E90"/>
    <w:rsid w:val="00EF638D"/>
    <w:rsid w:val="00F00BA1"/>
    <w:rsid w:val="00F13BD3"/>
    <w:rsid w:val="00F167CD"/>
    <w:rsid w:val="00F26669"/>
    <w:rsid w:val="00F32A1B"/>
    <w:rsid w:val="00F53BC6"/>
    <w:rsid w:val="00F75A3B"/>
    <w:rsid w:val="00F76CE6"/>
    <w:rsid w:val="00F85E76"/>
    <w:rsid w:val="00F93323"/>
    <w:rsid w:val="00FA18BA"/>
    <w:rsid w:val="00FA311F"/>
    <w:rsid w:val="00FB57D0"/>
    <w:rsid w:val="00FC2062"/>
    <w:rsid w:val="0565CFFB"/>
    <w:rsid w:val="062E8C88"/>
    <w:rsid w:val="0733A212"/>
    <w:rsid w:val="07C25BCD"/>
    <w:rsid w:val="081658D7"/>
    <w:rsid w:val="0860F15B"/>
    <w:rsid w:val="08EDE5D8"/>
    <w:rsid w:val="094A0ED8"/>
    <w:rsid w:val="0D3415A3"/>
    <w:rsid w:val="0D9190FF"/>
    <w:rsid w:val="0D9861CA"/>
    <w:rsid w:val="0FCACE14"/>
    <w:rsid w:val="106E709F"/>
    <w:rsid w:val="1112129B"/>
    <w:rsid w:val="132E6BE3"/>
    <w:rsid w:val="157F1DD5"/>
    <w:rsid w:val="1623DA25"/>
    <w:rsid w:val="162C0BD7"/>
    <w:rsid w:val="16911378"/>
    <w:rsid w:val="1716E3C1"/>
    <w:rsid w:val="171749CC"/>
    <w:rsid w:val="1749CFE2"/>
    <w:rsid w:val="1959F9A6"/>
    <w:rsid w:val="1B6095FC"/>
    <w:rsid w:val="1D868B50"/>
    <w:rsid w:val="1DF3732D"/>
    <w:rsid w:val="1E1DF55F"/>
    <w:rsid w:val="1E3E8760"/>
    <w:rsid w:val="1E51F7B1"/>
    <w:rsid w:val="1F225BB1"/>
    <w:rsid w:val="1FB9C5C0"/>
    <w:rsid w:val="2065B274"/>
    <w:rsid w:val="22190379"/>
    <w:rsid w:val="2226AB91"/>
    <w:rsid w:val="2261FD8F"/>
    <w:rsid w:val="22778586"/>
    <w:rsid w:val="22C8458B"/>
    <w:rsid w:val="251CFB94"/>
    <w:rsid w:val="26292C6A"/>
    <w:rsid w:val="2703AF1E"/>
    <w:rsid w:val="27103F2E"/>
    <w:rsid w:val="2C39F2F8"/>
    <w:rsid w:val="2C66E7CD"/>
    <w:rsid w:val="2DA49CA0"/>
    <w:rsid w:val="2E853843"/>
    <w:rsid w:val="3148DAA5"/>
    <w:rsid w:val="31A8D106"/>
    <w:rsid w:val="33B70876"/>
    <w:rsid w:val="346CDD09"/>
    <w:rsid w:val="34F81BA2"/>
    <w:rsid w:val="353A2E3F"/>
    <w:rsid w:val="35669449"/>
    <w:rsid w:val="38982E90"/>
    <w:rsid w:val="38EB6C9B"/>
    <w:rsid w:val="3B126CD4"/>
    <w:rsid w:val="3C339B0A"/>
    <w:rsid w:val="3D0F262C"/>
    <w:rsid w:val="3EC400AA"/>
    <w:rsid w:val="3F125CAA"/>
    <w:rsid w:val="3FD45BC3"/>
    <w:rsid w:val="40CDAEBA"/>
    <w:rsid w:val="433E0448"/>
    <w:rsid w:val="451CB64A"/>
    <w:rsid w:val="46696595"/>
    <w:rsid w:val="483C3D46"/>
    <w:rsid w:val="48A0E0DC"/>
    <w:rsid w:val="48B4AB69"/>
    <w:rsid w:val="48F43956"/>
    <w:rsid w:val="4972CE4C"/>
    <w:rsid w:val="499FC816"/>
    <w:rsid w:val="4A0A6903"/>
    <w:rsid w:val="4A9009B7"/>
    <w:rsid w:val="4B82FBEB"/>
    <w:rsid w:val="4D6760C1"/>
    <w:rsid w:val="4D96627D"/>
    <w:rsid w:val="4E43ADCD"/>
    <w:rsid w:val="4EB37FE6"/>
    <w:rsid w:val="4FA87B25"/>
    <w:rsid w:val="4FFE34EF"/>
    <w:rsid w:val="5060C945"/>
    <w:rsid w:val="50A7D305"/>
    <w:rsid w:val="5103E549"/>
    <w:rsid w:val="51539223"/>
    <w:rsid w:val="51A7277F"/>
    <w:rsid w:val="52D0974E"/>
    <w:rsid w:val="53059355"/>
    <w:rsid w:val="536DC8AC"/>
    <w:rsid w:val="546D945F"/>
    <w:rsid w:val="54E2E1D4"/>
    <w:rsid w:val="5510E375"/>
    <w:rsid w:val="5532417B"/>
    <w:rsid w:val="56A5696E"/>
    <w:rsid w:val="5783CAED"/>
    <w:rsid w:val="57CC4754"/>
    <w:rsid w:val="57FA4B68"/>
    <w:rsid w:val="588703B5"/>
    <w:rsid w:val="59CB571C"/>
    <w:rsid w:val="5A7AF430"/>
    <w:rsid w:val="5A9E042C"/>
    <w:rsid w:val="5B009740"/>
    <w:rsid w:val="5D48B81B"/>
    <w:rsid w:val="5DA2EED5"/>
    <w:rsid w:val="5DCE09A1"/>
    <w:rsid w:val="5E859FE2"/>
    <w:rsid w:val="5EA74C42"/>
    <w:rsid w:val="602EDA61"/>
    <w:rsid w:val="6054393A"/>
    <w:rsid w:val="622E321E"/>
    <w:rsid w:val="627ABCA0"/>
    <w:rsid w:val="62D3DDEC"/>
    <w:rsid w:val="63371EF2"/>
    <w:rsid w:val="6356851F"/>
    <w:rsid w:val="63FA2E07"/>
    <w:rsid w:val="6595FE68"/>
    <w:rsid w:val="65B5245F"/>
    <w:rsid w:val="66D67204"/>
    <w:rsid w:val="6831BF81"/>
    <w:rsid w:val="6835062B"/>
    <w:rsid w:val="6916A5D0"/>
    <w:rsid w:val="69FB1B80"/>
    <w:rsid w:val="6A205BB3"/>
    <w:rsid w:val="6B13567F"/>
    <w:rsid w:val="6BA0379C"/>
    <w:rsid w:val="6CDB35E3"/>
    <w:rsid w:val="6DDE26E2"/>
    <w:rsid w:val="6DF3B63E"/>
    <w:rsid w:val="6EA03AF5"/>
    <w:rsid w:val="7209BA00"/>
    <w:rsid w:val="72C4243F"/>
    <w:rsid w:val="741FF622"/>
    <w:rsid w:val="756CE991"/>
    <w:rsid w:val="77C1D38F"/>
    <w:rsid w:val="795DA3F0"/>
    <w:rsid w:val="7B412F49"/>
    <w:rsid w:val="7B8BA17B"/>
    <w:rsid w:val="7C7FA925"/>
    <w:rsid w:val="7CA2D806"/>
    <w:rsid w:val="7D904BA0"/>
    <w:rsid w:val="7DBA3D05"/>
    <w:rsid w:val="7FB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1158"/>
  <w15:chartTrackingRefBased/>
  <w15:docId w15:val="{98400D0A-56DD-4D24-8175-10FEAAA7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304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US"/>
    </w:rPr>
  </w:style>
  <w:style w:type="paragraph" w:customStyle="1" w:styleId="MediumGrid21">
    <w:name w:val="Medium Grid 21"/>
    <w:uiPriority w:val="1"/>
    <w:qFormat/>
    <w:rsid w:val="006C749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C74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498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2904</Words>
  <Characters>16554</Characters>
  <Application>Microsoft Office Word</Application>
  <DocSecurity>0</DocSecurity>
  <Lines>137</Lines>
  <Paragraphs>38</Paragraphs>
  <ScaleCrop>false</ScaleCrop>
  <Company>UC Health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Natalie</dc:creator>
  <cp:keywords/>
  <dc:description/>
  <cp:lastModifiedBy>Sewani, Salima VHACIN</cp:lastModifiedBy>
  <cp:revision>17</cp:revision>
  <cp:lastPrinted>2018-01-17T15:42:00Z</cp:lastPrinted>
  <dcterms:created xsi:type="dcterms:W3CDTF">2020-08-23T16:46:00Z</dcterms:created>
  <dcterms:modified xsi:type="dcterms:W3CDTF">2024-01-24T20:26:00Z</dcterms:modified>
</cp:coreProperties>
</file>